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0A98" w14:textId="18D5BB56" w:rsidR="00046006" w:rsidRPr="00993DC1" w:rsidRDefault="00AC5833" w:rsidP="00046006">
      <w:pPr>
        <w:pStyle w:val="chaptertitlenonumbering"/>
      </w:pPr>
      <w:sdt>
        <w:sdtPr>
          <w:alias w:val="Title"/>
          <w:id w:val="436991405"/>
          <w:placeholder>
            <w:docPart w:val="A2A8FB8F55F04FA086D68D2EBD831450"/>
          </w:placeholder>
          <w:dataBinding w:prefixMappings="xmlns:ns0='http://purl.org/dc/elements/1.1/' xmlns:ns1='http://schemas.openxmlformats.org/package/2006/metadata/core-properties' " w:xpath="/ns1:coreProperties[1]/ns0:title[1]" w:storeItemID="{6C3C8BC8-F283-45AE-878A-BAB7291924A1}"/>
          <w:text/>
        </w:sdtPr>
        <w:sdtEndPr/>
        <w:sdtContent>
          <w:r w:rsidR="008A4A19">
            <w:t>Whistleblowers policy</w:t>
          </w:r>
        </w:sdtContent>
      </w:sdt>
    </w:p>
    <w:p w14:paraId="09D956F1" w14:textId="77777777" w:rsidR="000817D9" w:rsidRPr="000817D9" w:rsidRDefault="000817D9" w:rsidP="000817D9">
      <w:pPr>
        <w:pStyle w:val="paragraph"/>
      </w:pPr>
      <w:bookmarkStart w:id="0" w:name="_Toc359933918"/>
    </w:p>
    <w:p w14:paraId="71F1D904" w14:textId="77777777" w:rsidR="00177CB2" w:rsidRPr="00177CB2" w:rsidRDefault="00177CB2" w:rsidP="00EC7A6D">
      <w:pPr>
        <w:pStyle w:val="paragraph"/>
      </w:pPr>
    </w:p>
    <w:p w14:paraId="481C3B23" w14:textId="3680DF93" w:rsidR="00046006" w:rsidRPr="00627CFF" w:rsidRDefault="00046006" w:rsidP="00046006">
      <w:pPr>
        <w:pStyle w:val="topicnonumbering"/>
      </w:pPr>
      <w:r w:rsidRPr="00627CFF">
        <w:t>Policy statement</w:t>
      </w:r>
      <w:bookmarkEnd w:id="0"/>
    </w:p>
    <w:p w14:paraId="7D84905A" w14:textId="4B88F5FE" w:rsidR="00386349" w:rsidRPr="00627CFF" w:rsidRDefault="00386349" w:rsidP="00386349">
      <w:pPr>
        <w:spacing w:after="0"/>
        <w:ind w:left="0"/>
        <w:rPr>
          <w:rFonts w:eastAsiaTheme="minorEastAsia" w:cstheme="minorHAnsi"/>
        </w:rPr>
      </w:pPr>
      <w:r w:rsidRPr="00627CFF">
        <w:rPr>
          <w:rFonts w:eastAsiaTheme="minorEastAsia" w:cstheme="minorHAnsi"/>
        </w:rPr>
        <w:t>In this document</w:t>
      </w:r>
      <w:r w:rsidR="00611E75" w:rsidRPr="00627CFF">
        <w:rPr>
          <w:rFonts w:eastAsiaTheme="minorEastAsia" w:cstheme="minorHAnsi"/>
        </w:rPr>
        <w:t>,</w:t>
      </w:r>
      <w:r w:rsidRPr="00627CFF">
        <w:rPr>
          <w:rFonts w:eastAsiaTheme="minorEastAsia" w:cstheme="minorHAnsi"/>
        </w:rPr>
        <w:t xml:space="preserve"> the management of</w:t>
      </w:r>
      <w:r w:rsidR="00813508" w:rsidRPr="00627CFF">
        <w:rPr>
          <w:rFonts w:eastAsiaTheme="minorEastAsia" w:cstheme="minorHAnsi"/>
        </w:rPr>
        <w:t xml:space="preserve"> AWDC </w:t>
      </w:r>
      <w:r w:rsidRPr="00627CFF">
        <w:rPr>
          <w:rFonts w:eastAsiaTheme="minorEastAsia" w:cstheme="minorHAnsi"/>
        </w:rPr>
        <w:t>expresses its intentions and directions regarding whistleblowing.</w:t>
      </w:r>
    </w:p>
    <w:p w14:paraId="1B9CEE67" w14:textId="77777777" w:rsidR="00C76557" w:rsidRPr="00627CFF" w:rsidRDefault="00C76557" w:rsidP="00386349">
      <w:pPr>
        <w:spacing w:after="0"/>
        <w:ind w:left="0"/>
        <w:rPr>
          <w:rFonts w:eastAsiaTheme="minorEastAsia" w:cstheme="minorHAnsi"/>
        </w:rPr>
      </w:pPr>
    </w:p>
    <w:p w14:paraId="54DD9D8C" w14:textId="3EC036F9" w:rsidR="00C76557" w:rsidRPr="00627CFF" w:rsidRDefault="00C76557" w:rsidP="00C76557">
      <w:pPr>
        <w:spacing w:after="0"/>
        <w:ind w:left="0"/>
        <w:rPr>
          <w:rFonts w:eastAsiaTheme="minorEastAsia" w:cstheme="minorHAnsi"/>
          <w:b/>
        </w:rPr>
      </w:pPr>
      <w:r w:rsidRPr="00627CFF">
        <w:rPr>
          <w:rFonts w:eastAsiaTheme="minorEastAsia" w:cstheme="minorHAnsi"/>
          <w:b/>
        </w:rPr>
        <w:t>The objectives of the whistleblow</w:t>
      </w:r>
      <w:r w:rsidR="00560988" w:rsidRPr="00627CFF">
        <w:rPr>
          <w:rFonts w:eastAsiaTheme="minorEastAsia" w:cstheme="minorHAnsi"/>
          <w:b/>
        </w:rPr>
        <w:t>er</w:t>
      </w:r>
      <w:r w:rsidR="00907010" w:rsidRPr="00627CFF">
        <w:rPr>
          <w:rFonts w:eastAsiaTheme="minorEastAsia" w:cstheme="minorHAnsi"/>
          <w:b/>
        </w:rPr>
        <w:t>s</w:t>
      </w:r>
      <w:r w:rsidRPr="00627CFF">
        <w:rPr>
          <w:rFonts w:eastAsiaTheme="minorEastAsia" w:cstheme="minorHAnsi"/>
          <w:b/>
        </w:rPr>
        <w:t xml:space="preserve"> policy</w:t>
      </w:r>
    </w:p>
    <w:p w14:paraId="54F1E62A" w14:textId="77777777" w:rsidR="00C76557" w:rsidRPr="00627CFF" w:rsidRDefault="00C76557" w:rsidP="00C76557">
      <w:pPr>
        <w:spacing w:after="0"/>
        <w:ind w:left="0"/>
        <w:rPr>
          <w:rFonts w:eastAsiaTheme="minorEastAsia" w:cstheme="minorHAnsi"/>
        </w:rPr>
      </w:pPr>
    </w:p>
    <w:p w14:paraId="5F17BF15" w14:textId="1F072C75" w:rsidR="00C76557" w:rsidRDefault="00C76557" w:rsidP="00C76557">
      <w:pPr>
        <w:spacing w:after="0"/>
        <w:ind w:left="0"/>
        <w:rPr>
          <w:rFonts w:eastAsiaTheme="minorEastAsia" w:cstheme="minorHAnsi"/>
        </w:rPr>
      </w:pPr>
      <w:r w:rsidRPr="00627CFF">
        <w:rPr>
          <w:rFonts w:eastAsiaTheme="minorEastAsia" w:cstheme="minorHAnsi"/>
        </w:rPr>
        <w:t xml:space="preserve">The management of </w:t>
      </w:r>
      <w:r w:rsidR="008747F8" w:rsidRPr="00627CFF">
        <w:rPr>
          <w:rFonts w:eastAsiaTheme="minorEastAsia" w:cstheme="minorHAnsi"/>
        </w:rPr>
        <w:t xml:space="preserve">AWDC </w:t>
      </w:r>
      <w:r w:rsidRPr="00627CFF">
        <w:rPr>
          <w:rFonts w:eastAsiaTheme="minorEastAsia" w:cstheme="minorHAnsi"/>
        </w:rPr>
        <w:t xml:space="preserve">is committed to </w:t>
      </w:r>
      <w:r w:rsidR="00731F3E" w:rsidRPr="00627CFF">
        <w:rPr>
          <w:rFonts w:eastAsiaTheme="minorEastAsia" w:cstheme="minorHAnsi"/>
        </w:rPr>
        <w:t xml:space="preserve">further </w:t>
      </w:r>
      <w:r w:rsidR="004C4D5F" w:rsidRPr="00627CFF">
        <w:rPr>
          <w:rFonts w:eastAsiaTheme="minorEastAsia" w:cstheme="minorHAnsi"/>
        </w:rPr>
        <w:t xml:space="preserve">facilitate </w:t>
      </w:r>
      <w:r w:rsidRPr="00627CFF">
        <w:rPr>
          <w:rFonts w:eastAsiaTheme="minorEastAsia" w:cstheme="minorHAnsi"/>
        </w:rPr>
        <w:t>a speak-up culture with this</w:t>
      </w:r>
      <w:r w:rsidR="008747F8" w:rsidRPr="00627CFF">
        <w:rPr>
          <w:rFonts w:eastAsiaTheme="minorEastAsia" w:cstheme="minorHAnsi"/>
        </w:rPr>
        <w:t xml:space="preserve"> AWDC </w:t>
      </w:r>
      <w:r w:rsidRPr="00627CFF">
        <w:rPr>
          <w:rFonts w:eastAsiaTheme="minorEastAsia" w:cstheme="minorHAnsi"/>
        </w:rPr>
        <w:t>whistleblow</w:t>
      </w:r>
      <w:r w:rsidR="006E6BD4" w:rsidRPr="00627CFF">
        <w:rPr>
          <w:rFonts w:eastAsiaTheme="minorEastAsia" w:cstheme="minorHAnsi"/>
        </w:rPr>
        <w:t>er</w:t>
      </w:r>
      <w:r w:rsidR="00A333AA" w:rsidRPr="00627CFF">
        <w:rPr>
          <w:rFonts w:eastAsiaTheme="minorEastAsia" w:cstheme="minorHAnsi"/>
        </w:rPr>
        <w:t>s</w:t>
      </w:r>
      <w:r w:rsidRPr="00627CFF">
        <w:rPr>
          <w:rFonts w:eastAsiaTheme="minorEastAsia" w:cstheme="minorHAnsi"/>
        </w:rPr>
        <w:t xml:space="preserve"> policy. </w:t>
      </w:r>
    </w:p>
    <w:p w14:paraId="78B1EECF" w14:textId="77777777" w:rsidR="00D87AA5" w:rsidRDefault="00D87AA5" w:rsidP="00C76557">
      <w:pPr>
        <w:spacing w:after="0"/>
        <w:ind w:left="0"/>
        <w:rPr>
          <w:rFonts w:eastAsiaTheme="minorEastAsia" w:cstheme="minorHAnsi"/>
        </w:rPr>
      </w:pPr>
    </w:p>
    <w:p w14:paraId="2E703B1B" w14:textId="77777777" w:rsidR="00D87AA5" w:rsidRPr="00627CFF" w:rsidRDefault="00D87AA5" w:rsidP="00D87AA5">
      <w:pPr>
        <w:spacing w:after="0"/>
        <w:ind w:left="0"/>
        <w:rPr>
          <w:rFonts w:eastAsiaTheme="minorEastAsia" w:cstheme="minorHAnsi"/>
        </w:rPr>
      </w:pPr>
      <w:r w:rsidRPr="00627CFF">
        <w:rPr>
          <w:rFonts w:eastAsiaTheme="minorEastAsia" w:cstheme="minorHAnsi"/>
        </w:rPr>
        <w:t>To facilitate this reporting, AWDC  has set up a secure and confidential internal reporting channel in accordance with the law of 28 November 2022 on the protection of whistleblowers of breaches of Union or national law established within a legal entity in the private sector (the “Whistleblowing law”). </w:t>
      </w:r>
    </w:p>
    <w:p w14:paraId="3AEF11EB" w14:textId="77777777" w:rsidR="00D87AA5" w:rsidRDefault="00D87AA5" w:rsidP="00C76557">
      <w:pPr>
        <w:spacing w:after="0"/>
        <w:ind w:left="0"/>
        <w:rPr>
          <w:rFonts w:eastAsiaTheme="minorEastAsia" w:cstheme="minorHAnsi"/>
        </w:rPr>
      </w:pPr>
    </w:p>
    <w:p w14:paraId="48521198" w14:textId="444FABC8" w:rsidR="00D87AA5" w:rsidRPr="00627CFF" w:rsidRDefault="00D87AA5" w:rsidP="00D87AA5">
      <w:pPr>
        <w:spacing w:after="0"/>
        <w:ind w:left="0"/>
        <w:rPr>
          <w:rFonts w:eastAsiaTheme="minorEastAsia" w:cstheme="minorHAnsi"/>
        </w:rPr>
      </w:pPr>
      <w:r>
        <w:rPr>
          <w:rFonts w:eastAsiaTheme="minorEastAsia" w:cstheme="minorHAnsi"/>
        </w:rPr>
        <w:t xml:space="preserve">AWDC has opted together with the Belgian registered diamond companies in annex to share </w:t>
      </w:r>
      <w:r w:rsidRPr="00471305">
        <w:rPr>
          <w:rFonts w:eastAsiaTheme="minorEastAsia" w:cstheme="minorHAnsi"/>
        </w:rPr>
        <w:t xml:space="preserve">resources as regards the receipt of reports and any investigation to be carried out. This shall be without prejudice to the obligations imposed upon such entities by </w:t>
      </w:r>
      <w:r>
        <w:rPr>
          <w:rFonts w:eastAsiaTheme="minorEastAsia" w:cstheme="minorHAnsi"/>
        </w:rPr>
        <w:t xml:space="preserve"> the Whistleblow</w:t>
      </w:r>
      <w:r w:rsidR="00C23FDF">
        <w:rPr>
          <w:rFonts w:eastAsiaTheme="minorEastAsia" w:cstheme="minorHAnsi"/>
        </w:rPr>
        <w:t>in</w:t>
      </w:r>
      <w:r w:rsidR="00F265E1">
        <w:rPr>
          <w:rFonts w:eastAsiaTheme="minorEastAsia" w:cstheme="minorHAnsi"/>
        </w:rPr>
        <w:t>g</w:t>
      </w:r>
      <w:r w:rsidR="00C23FDF">
        <w:rPr>
          <w:rFonts w:eastAsiaTheme="minorEastAsia" w:cstheme="minorHAnsi"/>
        </w:rPr>
        <w:t xml:space="preserve"> Law </w:t>
      </w:r>
      <w:r w:rsidRPr="00471305">
        <w:rPr>
          <w:rFonts w:eastAsiaTheme="minorEastAsia" w:cstheme="minorHAnsi"/>
        </w:rPr>
        <w:t>to maintain confidentiality, to give feedback, and to address the reported breach.</w:t>
      </w:r>
    </w:p>
    <w:p w14:paraId="1BA7EBD2" w14:textId="77777777" w:rsidR="008747F8" w:rsidRPr="00627CFF" w:rsidRDefault="008747F8" w:rsidP="00C76557">
      <w:pPr>
        <w:spacing w:after="0"/>
        <w:ind w:left="0"/>
        <w:rPr>
          <w:rFonts w:eastAsiaTheme="minorEastAsia" w:cstheme="minorHAnsi"/>
        </w:rPr>
      </w:pPr>
    </w:p>
    <w:p w14:paraId="109768B8" w14:textId="44E993D5" w:rsidR="008747F8" w:rsidRPr="00627CFF" w:rsidRDefault="008747F8" w:rsidP="00C76557">
      <w:pPr>
        <w:spacing w:after="0"/>
        <w:ind w:left="0"/>
        <w:rPr>
          <w:rFonts w:eastAsiaTheme="minorEastAsia" w:cstheme="minorHAnsi"/>
        </w:rPr>
      </w:pPr>
      <w:r w:rsidRPr="00627CFF">
        <w:rPr>
          <w:rFonts w:cstheme="minorHAnsi"/>
        </w:rPr>
        <w:t xml:space="preserve">To this end Employees </w:t>
      </w:r>
      <w:r w:rsidR="005F2CE4">
        <w:rPr>
          <w:rFonts w:cstheme="minorHAnsi"/>
        </w:rPr>
        <w:t xml:space="preserve">working for Belgian registered </w:t>
      </w:r>
      <w:r w:rsidR="006A6261">
        <w:rPr>
          <w:rFonts w:cstheme="minorHAnsi"/>
        </w:rPr>
        <w:t xml:space="preserve">diamond companies in annex (hereinafter referred to as “employees”) </w:t>
      </w:r>
      <w:r w:rsidRPr="00627CFF">
        <w:rPr>
          <w:rFonts w:cstheme="minorHAnsi"/>
        </w:rPr>
        <w:t xml:space="preserve">may report Information on </w:t>
      </w:r>
      <w:r w:rsidR="00916EFB" w:rsidRPr="00627CFF">
        <w:rPr>
          <w:rFonts w:cstheme="minorHAnsi"/>
        </w:rPr>
        <w:t>actual or suspected b</w:t>
      </w:r>
      <w:r w:rsidRPr="00627CFF">
        <w:rPr>
          <w:rFonts w:cstheme="minorHAnsi"/>
        </w:rPr>
        <w:t>reaches through the Internal Reporting Channel (</w:t>
      </w:r>
      <w:proofErr w:type="spellStart"/>
      <w:r w:rsidRPr="00627CFF">
        <w:rPr>
          <w:rFonts w:cstheme="minorHAnsi"/>
        </w:rPr>
        <w:t>Whistlblowing</w:t>
      </w:r>
      <w:proofErr w:type="spellEnd"/>
      <w:r w:rsidRPr="00627CFF">
        <w:rPr>
          <w:rFonts w:cstheme="minorHAnsi"/>
        </w:rPr>
        <w:t xml:space="preserve"> </w:t>
      </w:r>
      <w:proofErr w:type="spellStart"/>
      <w:r w:rsidRPr="00627CFF">
        <w:rPr>
          <w:rFonts w:cstheme="minorHAnsi"/>
        </w:rPr>
        <w:t>Channnel</w:t>
      </w:r>
      <w:proofErr w:type="spellEnd"/>
      <w:r w:rsidRPr="00627CFF">
        <w:rPr>
          <w:rFonts w:cstheme="minorHAnsi"/>
        </w:rPr>
        <w:t>) at any time. This reporting channel provides the possibility of anonymous reporting of breaches and includes a framework for the protection of the whistleblower.</w:t>
      </w:r>
    </w:p>
    <w:p w14:paraId="2115C6C7" w14:textId="77777777" w:rsidR="00763581" w:rsidRPr="00627CFF" w:rsidRDefault="00763581" w:rsidP="00C76557">
      <w:pPr>
        <w:spacing w:after="0"/>
        <w:ind w:left="0"/>
        <w:rPr>
          <w:rFonts w:eastAsiaTheme="minorEastAsia" w:cstheme="minorHAnsi"/>
        </w:rPr>
      </w:pPr>
    </w:p>
    <w:p w14:paraId="7E1577BE" w14:textId="0CA0C894" w:rsidR="00046006" w:rsidRPr="00627CFF" w:rsidRDefault="00C76557" w:rsidP="00547A7D">
      <w:pPr>
        <w:spacing w:after="0"/>
        <w:ind w:left="0"/>
        <w:rPr>
          <w:rFonts w:eastAsiaTheme="minorEastAsia" w:cstheme="minorHAnsi"/>
        </w:rPr>
      </w:pPr>
      <w:r w:rsidRPr="00627CFF">
        <w:rPr>
          <w:rFonts w:eastAsiaTheme="minorEastAsia" w:cstheme="minorHAnsi"/>
        </w:rPr>
        <w:t xml:space="preserve">The purpose of this </w:t>
      </w:r>
      <w:r w:rsidR="00177CB2" w:rsidRPr="00627CFF">
        <w:rPr>
          <w:rFonts w:eastAsiaTheme="minorEastAsia" w:cstheme="minorHAnsi"/>
        </w:rPr>
        <w:t>whistleblowers policy</w:t>
      </w:r>
      <w:r w:rsidRPr="00627CFF">
        <w:rPr>
          <w:rFonts w:eastAsiaTheme="minorEastAsia" w:cstheme="minorHAnsi"/>
        </w:rPr>
        <w:t xml:space="preserve"> is to provide readily available information about whistleblowing and to inform the </w:t>
      </w:r>
      <w:r w:rsidR="005B1915" w:rsidRPr="00627CFF">
        <w:rPr>
          <w:rFonts w:eastAsiaTheme="minorEastAsia" w:cstheme="minorHAnsi"/>
        </w:rPr>
        <w:t xml:space="preserve">potential whistleblowers </w:t>
      </w:r>
      <w:r w:rsidRPr="00627CFF">
        <w:rPr>
          <w:rFonts w:eastAsiaTheme="minorEastAsia" w:cstheme="minorHAnsi"/>
        </w:rPr>
        <w:t>of the principles and procedures of internal reporting</w:t>
      </w:r>
      <w:r w:rsidR="00547A7D" w:rsidRPr="00627CFF">
        <w:rPr>
          <w:rFonts w:eastAsiaTheme="minorEastAsia" w:cstheme="minorHAnsi"/>
        </w:rPr>
        <w:t>.</w:t>
      </w:r>
      <w:r w:rsidR="00046006" w:rsidRPr="00627CFF">
        <w:rPr>
          <w:vanish/>
        </w:rPr>
        <w:t>A brief and conceptual statement that steers behaviour within a specific domain. Include the rationale/purpose for the policy, and if appropriate, reference to external regulations, further policy discussions, etc.</w:t>
      </w:r>
      <w:r w:rsidR="00046006" w:rsidRPr="00627CFF">
        <w:rPr>
          <w:vanish/>
        </w:rPr>
        <w:br/>
        <w:t>Summary (one paragraph) clearly stating the important policy content.</w:t>
      </w:r>
    </w:p>
    <w:p w14:paraId="41BE04B6" w14:textId="77777777" w:rsidR="000817D9" w:rsidRPr="00627CFF" w:rsidRDefault="000817D9" w:rsidP="00046006">
      <w:pPr>
        <w:pStyle w:val="topicnonumbering"/>
      </w:pPr>
    </w:p>
    <w:p w14:paraId="3EB88A83" w14:textId="231D9A87" w:rsidR="00046006" w:rsidRPr="00627CFF" w:rsidRDefault="00046006" w:rsidP="00046006">
      <w:pPr>
        <w:pStyle w:val="topicnonumbering"/>
      </w:pPr>
      <w:r w:rsidRPr="00627CFF">
        <w:t>Detailed policy statement</w:t>
      </w:r>
    </w:p>
    <w:p w14:paraId="7BEC45A8" w14:textId="3633BC39" w:rsidR="00876522" w:rsidRPr="00627CFF" w:rsidRDefault="00876522" w:rsidP="005B1915">
      <w:pPr>
        <w:pStyle w:val="paragraph"/>
        <w:numPr>
          <w:ilvl w:val="0"/>
          <w:numId w:val="5"/>
        </w:numPr>
        <w:rPr>
          <w:bCs/>
          <w:i/>
          <w:iCs/>
        </w:rPr>
      </w:pPr>
      <w:r w:rsidRPr="00627CFF">
        <w:rPr>
          <w:b/>
          <w:bCs/>
          <w:i/>
          <w:iCs/>
        </w:rPr>
        <w:t>General</w:t>
      </w:r>
      <w:r w:rsidR="006D6D7D" w:rsidRPr="00627CFF">
        <w:rPr>
          <w:b/>
          <w:bCs/>
          <w:i/>
          <w:iCs/>
        </w:rPr>
        <w:t xml:space="preserve"> – scope of application</w:t>
      </w:r>
    </w:p>
    <w:p w14:paraId="0761A1E6" w14:textId="72E6910C" w:rsidR="00386349" w:rsidRPr="00627CFF" w:rsidRDefault="00386349" w:rsidP="00386349">
      <w:pPr>
        <w:spacing w:after="0"/>
        <w:ind w:left="0"/>
        <w:rPr>
          <w:rFonts w:eastAsiaTheme="minorEastAsia" w:cstheme="minorHAnsi"/>
          <w:b/>
        </w:rPr>
      </w:pPr>
      <w:r w:rsidRPr="00627CFF">
        <w:rPr>
          <w:rFonts w:eastAsiaTheme="minorEastAsia" w:cstheme="minorHAnsi"/>
          <w:b/>
        </w:rPr>
        <w:t xml:space="preserve">The scope of the </w:t>
      </w:r>
      <w:r w:rsidR="00177CB2" w:rsidRPr="00627CFF">
        <w:rPr>
          <w:rFonts w:eastAsiaTheme="minorEastAsia" w:cstheme="minorHAnsi"/>
          <w:b/>
        </w:rPr>
        <w:t>whistleblowers policy</w:t>
      </w:r>
    </w:p>
    <w:p w14:paraId="478CB3CB" w14:textId="77777777" w:rsidR="00386349" w:rsidRPr="00627CFF" w:rsidRDefault="00386349" w:rsidP="00386349">
      <w:pPr>
        <w:spacing w:after="0"/>
        <w:ind w:left="0"/>
        <w:rPr>
          <w:rFonts w:eastAsiaTheme="minorEastAsia" w:cstheme="minorHAnsi"/>
        </w:rPr>
      </w:pPr>
    </w:p>
    <w:p w14:paraId="7BDA5845" w14:textId="106E90DA" w:rsidR="00386349" w:rsidRPr="00386349" w:rsidRDefault="006C51D2" w:rsidP="00386349">
      <w:pPr>
        <w:spacing w:after="0"/>
        <w:ind w:left="0"/>
        <w:rPr>
          <w:rFonts w:eastAsiaTheme="minorEastAsia" w:cstheme="minorHAnsi"/>
        </w:rPr>
      </w:pPr>
      <w:r w:rsidRPr="00627CFF">
        <w:rPr>
          <w:rFonts w:eastAsiaTheme="minorEastAsia" w:cstheme="minorHAnsi"/>
        </w:rPr>
        <w:t>AWDC</w:t>
      </w:r>
      <w:r w:rsidR="00386349" w:rsidRPr="00627CFF">
        <w:rPr>
          <w:rFonts w:eastAsiaTheme="minorEastAsia" w:cstheme="minorHAnsi"/>
        </w:rPr>
        <w:t xml:space="preserve"> aims to provide a safe and secure environment for every</w:t>
      </w:r>
      <w:r w:rsidR="00177CB2" w:rsidRPr="00627CFF">
        <w:rPr>
          <w:rFonts w:eastAsiaTheme="minorEastAsia" w:cstheme="minorHAnsi"/>
        </w:rPr>
        <w:t xml:space="preserve"> employee </w:t>
      </w:r>
      <w:r w:rsidR="00386349" w:rsidRPr="00627CFF">
        <w:rPr>
          <w:rFonts w:eastAsiaTheme="minorEastAsia" w:cstheme="minorHAnsi"/>
        </w:rPr>
        <w:t>so that they can address their concerns with their supervisor without fe</w:t>
      </w:r>
      <w:r w:rsidR="00386349" w:rsidRPr="00386349">
        <w:rPr>
          <w:rFonts w:eastAsiaTheme="minorEastAsia" w:cstheme="minorHAnsi"/>
        </w:rPr>
        <w:t>ar of retaliation. Nevertheless, it is always possible that some</w:t>
      </w:r>
      <w:r w:rsidR="00E37432">
        <w:rPr>
          <w:rFonts w:eastAsiaTheme="minorEastAsia" w:cstheme="minorHAnsi"/>
        </w:rPr>
        <w:t>one</w:t>
      </w:r>
      <w:r w:rsidR="00386349" w:rsidRPr="00386349">
        <w:rPr>
          <w:rFonts w:eastAsiaTheme="minorEastAsia" w:cstheme="minorHAnsi"/>
        </w:rPr>
        <w:t xml:space="preserve"> feels that the only way to raise the concern in a</w:t>
      </w:r>
      <w:r w:rsidR="00DC54F5">
        <w:rPr>
          <w:rFonts w:eastAsiaTheme="minorEastAsia" w:cstheme="minorHAnsi"/>
        </w:rPr>
        <w:t>n</w:t>
      </w:r>
      <w:r w:rsidR="00386349" w:rsidRPr="00386349">
        <w:rPr>
          <w:rFonts w:eastAsiaTheme="minorEastAsia" w:cstheme="minorHAnsi"/>
        </w:rPr>
        <w:t xml:space="preserve"> effective way is through a whistleblowing channel.</w:t>
      </w:r>
    </w:p>
    <w:p w14:paraId="027953FE" w14:textId="77777777" w:rsidR="00386349" w:rsidRPr="00386349" w:rsidRDefault="00386349" w:rsidP="00386349">
      <w:pPr>
        <w:spacing w:after="0"/>
        <w:ind w:left="0"/>
        <w:rPr>
          <w:rFonts w:eastAsiaTheme="minorEastAsia" w:cstheme="minorHAnsi"/>
        </w:rPr>
      </w:pPr>
    </w:p>
    <w:p w14:paraId="0397F3BF" w14:textId="3A5D591A" w:rsidR="00386349" w:rsidRPr="00386349" w:rsidRDefault="006C51D2" w:rsidP="00386349">
      <w:pPr>
        <w:spacing w:after="0"/>
        <w:ind w:left="0"/>
        <w:rPr>
          <w:rFonts w:eastAsiaTheme="minorEastAsia" w:cstheme="minorHAnsi"/>
        </w:rPr>
      </w:pPr>
      <w:r>
        <w:rPr>
          <w:rFonts w:eastAsiaTheme="minorEastAsia" w:cstheme="minorHAnsi"/>
        </w:rPr>
        <w:t>AWDC</w:t>
      </w:r>
      <w:r w:rsidR="00386349" w:rsidRPr="00386349">
        <w:rPr>
          <w:rFonts w:eastAsiaTheme="minorEastAsia" w:cstheme="minorHAnsi"/>
        </w:rPr>
        <w:t xml:space="preserve"> wants to ensure via this policy that this is made possible.</w:t>
      </w:r>
    </w:p>
    <w:p w14:paraId="776E89E7" w14:textId="77777777" w:rsidR="00386349" w:rsidRPr="00386349" w:rsidRDefault="00386349" w:rsidP="00386349">
      <w:pPr>
        <w:spacing w:after="0"/>
        <w:ind w:left="0"/>
        <w:rPr>
          <w:rFonts w:eastAsiaTheme="minorEastAsia" w:cstheme="minorHAnsi"/>
        </w:rPr>
      </w:pPr>
    </w:p>
    <w:p w14:paraId="66AD577F" w14:textId="76FF80FF" w:rsidR="00386349" w:rsidRPr="00386349" w:rsidRDefault="00386349" w:rsidP="00386349">
      <w:pPr>
        <w:spacing w:after="0"/>
        <w:ind w:left="0"/>
        <w:rPr>
          <w:rFonts w:eastAsiaTheme="minorEastAsia" w:cstheme="minorHAnsi"/>
        </w:rPr>
      </w:pPr>
      <w:r w:rsidRPr="00386349">
        <w:rPr>
          <w:rFonts w:eastAsiaTheme="minorEastAsia" w:cstheme="minorHAnsi"/>
        </w:rPr>
        <w:t xml:space="preserve">The </w:t>
      </w:r>
      <w:proofErr w:type="spellStart"/>
      <w:r w:rsidR="00B65276" w:rsidRPr="00627CFF">
        <w:rPr>
          <w:rFonts w:cstheme="minorHAnsi"/>
        </w:rPr>
        <w:t>Whistlblowing</w:t>
      </w:r>
      <w:proofErr w:type="spellEnd"/>
      <w:r w:rsidR="00B65276" w:rsidRPr="00627CFF">
        <w:rPr>
          <w:rFonts w:cstheme="minorHAnsi"/>
        </w:rPr>
        <w:t xml:space="preserve"> </w:t>
      </w:r>
      <w:proofErr w:type="spellStart"/>
      <w:r w:rsidR="00B65276" w:rsidRPr="00627CFF">
        <w:rPr>
          <w:rFonts w:cstheme="minorHAnsi"/>
        </w:rPr>
        <w:t>Channnel</w:t>
      </w:r>
      <w:proofErr w:type="spellEnd"/>
      <w:r w:rsidR="00B65276">
        <w:rPr>
          <w:rFonts w:cstheme="minorHAnsi"/>
        </w:rPr>
        <w:t xml:space="preserve"> </w:t>
      </w:r>
      <w:r w:rsidRPr="00386349">
        <w:rPr>
          <w:rFonts w:eastAsiaTheme="minorEastAsia" w:cstheme="minorHAnsi"/>
        </w:rPr>
        <w:t>is a system for reporting suspected or actual breaches in ‘good faith’ regarding the topics in Annex 1.</w:t>
      </w:r>
    </w:p>
    <w:p w14:paraId="5721B5D3" w14:textId="77777777" w:rsidR="00386349" w:rsidRPr="00386349" w:rsidRDefault="00386349" w:rsidP="00386349">
      <w:pPr>
        <w:spacing w:after="0"/>
        <w:ind w:left="0"/>
        <w:rPr>
          <w:rFonts w:eastAsiaTheme="minorEastAsia" w:cstheme="minorHAnsi"/>
        </w:rPr>
      </w:pPr>
    </w:p>
    <w:p w14:paraId="43493538" w14:textId="40835F33" w:rsidR="00386349" w:rsidRPr="00386349" w:rsidRDefault="00386349" w:rsidP="00386349">
      <w:pPr>
        <w:spacing w:after="0"/>
        <w:ind w:left="0"/>
        <w:rPr>
          <w:rFonts w:eastAsiaTheme="minorEastAsia" w:cstheme="minorHAnsi"/>
          <w:b/>
        </w:rPr>
      </w:pPr>
      <w:r w:rsidRPr="00386349">
        <w:rPr>
          <w:rFonts w:eastAsiaTheme="minorEastAsia" w:cstheme="minorHAnsi"/>
          <w:b/>
        </w:rPr>
        <w:t xml:space="preserve">The </w:t>
      </w:r>
      <w:r w:rsidR="00177CB2">
        <w:rPr>
          <w:rFonts w:eastAsiaTheme="minorEastAsia" w:cstheme="minorHAnsi"/>
          <w:b/>
        </w:rPr>
        <w:t>whistleblowers policy</w:t>
      </w:r>
      <w:r w:rsidRPr="00386349">
        <w:rPr>
          <w:rFonts w:eastAsiaTheme="minorEastAsia" w:cstheme="minorHAnsi"/>
          <w:b/>
        </w:rPr>
        <w:t xml:space="preserve"> within our organization</w:t>
      </w:r>
    </w:p>
    <w:p w14:paraId="6A8B8FD1" w14:textId="77777777" w:rsidR="00386349" w:rsidRPr="00386349" w:rsidRDefault="00386349" w:rsidP="00386349">
      <w:pPr>
        <w:spacing w:after="0"/>
        <w:ind w:left="0"/>
        <w:rPr>
          <w:rFonts w:eastAsiaTheme="minorEastAsia" w:cstheme="minorHAnsi"/>
        </w:rPr>
      </w:pPr>
    </w:p>
    <w:p w14:paraId="0719230A" w14:textId="37B92364" w:rsidR="00386349" w:rsidRPr="00386349" w:rsidRDefault="006C51D2" w:rsidP="00386349">
      <w:pPr>
        <w:spacing w:after="0"/>
        <w:ind w:left="0"/>
        <w:rPr>
          <w:rFonts w:eastAsiaTheme="minorEastAsia" w:cstheme="minorHAnsi"/>
        </w:rPr>
      </w:pPr>
      <w:r>
        <w:rPr>
          <w:rFonts w:eastAsiaTheme="minorEastAsia" w:cstheme="minorHAnsi"/>
        </w:rPr>
        <w:t>AWDC</w:t>
      </w:r>
      <w:r w:rsidR="00386349" w:rsidRPr="00386349">
        <w:rPr>
          <w:rFonts w:eastAsiaTheme="minorEastAsia" w:cstheme="minorHAnsi"/>
        </w:rPr>
        <w:t xml:space="preserve"> commits itself to follow the applicable legal requirements regarding whistleblowing. This policy has been developed in line with other policies of </w:t>
      </w:r>
      <w:r>
        <w:rPr>
          <w:rFonts w:eastAsiaTheme="minorEastAsia" w:cstheme="minorHAnsi"/>
        </w:rPr>
        <w:t>AWDC</w:t>
      </w:r>
      <w:r w:rsidR="00386349" w:rsidRPr="00386349">
        <w:rPr>
          <w:rFonts w:eastAsiaTheme="minorEastAsia" w:cstheme="minorHAnsi"/>
        </w:rPr>
        <w:t xml:space="preserve"> and considers the different stakeholders in this area.  As part of the best practices in our organization, the policy will be reviewed on a regular basis and </w:t>
      </w:r>
      <w:r>
        <w:rPr>
          <w:rFonts w:eastAsiaTheme="minorEastAsia" w:cstheme="minorHAnsi"/>
        </w:rPr>
        <w:t>AWDC</w:t>
      </w:r>
      <w:r w:rsidR="00386349" w:rsidRPr="00386349">
        <w:rPr>
          <w:rFonts w:eastAsiaTheme="minorEastAsia" w:cstheme="minorHAnsi"/>
        </w:rPr>
        <w:t xml:space="preserve"> commits to continuous improvement. </w:t>
      </w:r>
      <w:r w:rsidR="00177CB2">
        <w:rPr>
          <w:rFonts w:eastAsiaTheme="minorEastAsia" w:cstheme="minorHAnsi"/>
        </w:rPr>
        <w:t>The first evaluation will be held a year after the implementation of the policy.</w:t>
      </w:r>
    </w:p>
    <w:p w14:paraId="6A61EF80" w14:textId="77777777" w:rsidR="00386349" w:rsidRPr="00386349" w:rsidRDefault="00386349" w:rsidP="00386349">
      <w:pPr>
        <w:spacing w:after="0"/>
        <w:ind w:left="0"/>
        <w:rPr>
          <w:rFonts w:eastAsiaTheme="minorEastAsia" w:cstheme="minorHAnsi"/>
        </w:rPr>
      </w:pPr>
    </w:p>
    <w:p w14:paraId="4A2DFC88" w14:textId="21D9DFC9" w:rsidR="00386349" w:rsidRDefault="006C51D2" w:rsidP="00386349">
      <w:pPr>
        <w:spacing w:after="0"/>
        <w:ind w:left="0"/>
        <w:rPr>
          <w:rFonts w:eastAsiaTheme="minorEastAsia" w:cstheme="minorHAnsi"/>
        </w:rPr>
      </w:pPr>
      <w:r>
        <w:rPr>
          <w:rFonts w:eastAsiaTheme="minorEastAsia" w:cstheme="minorHAnsi"/>
        </w:rPr>
        <w:t>AWDC</w:t>
      </w:r>
      <w:r w:rsidR="00386349" w:rsidRPr="00386349">
        <w:rPr>
          <w:rFonts w:eastAsiaTheme="minorEastAsia" w:cstheme="minorHAnsi"/>
        </w:rPr>
        <w:t xml:space="preserve"> commits itself to trust,</w:t>
      </w:r>
      <w:r w:rsidR="000817D9">
        <w:rPr>
          <w:rFonts w:eastAsiaTheme="minorEastAsia" w:cstheme="minorHAnsi"/>
        </w:rPr>
        <w:t xml:space="preserve"> </w:t>
      </w:r>
      <w:r w:rsidR="00386349" w:rsidRPr="00386349">
        <w:rPr>
          <w:rFonts w:eastAsiaTheme="minorEastAsia" w:cstheme="minorHAnsi"/>
        </w:rPr>
        <w:t xml:space="preserve">impartiality and protection of the whistleblower throughout the entire whistleblowing process. </w:t>
      </w:r>
    </w:p>
    <w:p w14:paraId="56ED1047" w14:textId="77777777" w:rsidR="002044E7" w:rsidRDefault="002044E7" w:rsidP="00386349">
      <w:pPr>
        <w:spacing w:after="0"/>
        <w:ind w:left="0"/>
        <w:rPr>
          <w:rFonts w:eastAsiaTheme="minorEastAsia" w:cstheme="minorHAnsi"/>
        </w:rPr>
      </w:pPr>
    </w:p>
    <w:p w14:paraId="31B17663" w14:textId="3D396A95" w:rsidR="002044E7" w:rsidRPr="005B1915" w:rsidRDefault="002044E7" w:rsidP="005B1915">
      <w:pPr>
        <w:pStyle w:val="Lijstalinea"/>
        <w:numPr>
          <w:ilvl w:val="0"/>
          <w:numId w:val="5"/>
        </w:numPr>
        <w:spacing w:after="0"/>
        <w:rPr>
          <w:rFonts w:eastAsiaTheme="minorEastAsia" w:cstheme="minorHAnsi"/>
          <w:b/>
          <w:bCs/>
          <w:i/>
          <w:iCs/>
          <w:sz w:val="24"/>
          <w:szCs w:val="24"/>
        </w:rPr>
      </w:pPr>
      <w:r w:rsidRPr="005B1915">
        <w:rPr>
          <w:rFonts w:eastAsiaTheme="minorEastAsia" w:cstheme="minorHAnsi"/>
          <w:b/>
          <w:bCs/>
          <w:i/>
          <w:iCs/>
          <w:sz w:val="24"/>
          <w:szCs w:val="24"/>
        </w:rPr>
        <w:t>Reporting</w:t>
      </w:r>
    </w:p>
    <w:p w14:paraId="613DD0FC" w14:textId="77777777" w:rsidR="00386349" w:rsidRPr="00386349" w:rsidRDefault="00386349" w:rsidP="00386349">
      <w:pPr>
        <w:spacing w:after="0"/>
        <w:ind w:left="0"/>
        <w:rPr>
          <w:rFonts w:eastAsiaTheme="minorEastAsia" w:cstheme="minorHAnsi"/>
        </w:rPr>
      </w:pPr>
    </w:p>
    <w:p w14:paraId="1B873CC0"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Who can report a breach?</w:t>
      </w:r>
    </w:p>
    <w:p w14:paraId="2E324620" w14:textId="77777777" w:rsidR="00386349" w:rsidRPr="00386349" w:rsidRDefault="00386349" w:rsidP="00386349">
      <w:pPr>
        <w:spacing w:after="0"/>
        <w:ind w:left="0"/>
        <w:rPr>
          <w:rFonts w:eastAsiaTheme="minorEastAsia" w:cstheme="minorHAnsi"/>
        </w:rPr>
      </w:pPr>
    </w:p>
    <w:p w14:paraId="59B91230" w14:textId="06EBA3BD" w:rsidR="00386349" w:rsidRPr="00386349" w:rsidRDefault="005B1915" w:rsidP="00386349">
      <w:pPr>
        <w:spacing w:after="0"/>
        <w:ind w:left="0"/>
        <w:rPr>
          <w:rFonts w:eastAsiaTheme="minorEastAsia" w:cstheme="minorHAnsi"/>
        </w:rPr>
      </w:pPr>
      <w:r>
        <w:rPr>
          <w:rFonts w:eastAsiaTheme="minorEastAsia" w:cstheme="minorHAnsi"/>
        </w:rPr>
        <w:t>E</w:t>
      </w:r>
      <w:r w:rsidRPr="005B1915">
        <w:rPr>
          <w:rFonts w:eastAsiaTheme="minorEastAsia" w:cstheme="minorHAnsi"/>
        </w:rPr>
        <w:t xml:space="preserve">very </w:t>
      </w:r>
      <w:r w:rsidR="00177CB2">
        <w:rPr>
          <w:rFonts w:eastAsiaTheme="minorEastAsia" w:cstheme="minorHAnsi"/>
        </w:rPr>
        <w:t>current employee</w:t>
      </w:r>
      <w:r w:rsidR="00177CB2" w:rsidRPr="005B1915">
        <w:rPr>
          <w:rFonts w:eastAsiaTheme="minorEastAsia" w:cstheme="minorHAnsi"/>
        </w:rPr>
        <w:t xml:space="preserve"> </w:t>
      </w:r>
      <w:r w:rsidR="00B65276">
        <w:rPr>
          <w:rFonts w:eastAsiaTheme="minorEastAsia" w:cstheme="minorHAnsi"/>
        </w:rPr>
        <w:t xml:space="preserve">can </w:t>
      </w:r>
      <w:r w:rsidR="00386349" w:rsidRPr="00386349">
        <w:rPr>
          <w:rFonts w:eastAsiaTheme="minorEastAsia" w:cstheme="minorHAnsi"/>
        </w:rPr>
        <w:t xml:space="preserve">report a suspected or actual breach via the </w:t>
      </w:r>
      <w:proofErr w:type="spellStart"/>
      <w:r w:rsidR="00B65276" w:rsidRPr="00627CFF">
        <w:rPr>
          <w:rFonts w:cstheme="minorHAnsi"/>
        </w:rPr>
        <w:t>Whistlblowing</w:t>
      </w:r>
      <w:proofErr w:type="spellEnd"/>
      <w:r w:rsidR="00B65276" w:rsidRPr="00627CFF">
        <w:rPr>
          <w:rFonts w:cstheme="minorHAnsi"/>
        </w:rPr>
        <w:t xml:space="preserve"> </w:t>
      </w:r>
      <w:proofErr w:type="spellStart"/>
      <w:r w:rsidR="00B65276" w:rsidRPr="00627CFF">
        <w:rPr>
          <w:rFonts w:cstheme="minorHAnsi"/>
        </w:rPr>
        <w:t>Channnel</w:t>
      </w:r>
      <w:proofErr w:type="spellEnd"/>
      <w:r w:rsidR="00386349" w:rsidRPr="00386349">
        <w:rPr>
          <w:rFonts w:eastAsiaTheme="minorEastAsia" w:cstheme="minorHAnsi"/>
        </w:rPr>
        <w:t xml:space="preserve">. </w:t>
      </w:r>
      <w:r>
        <w:rPr>
          <w:rFonts w:eastAsiaTheme="minorEastAsia" w:cstheme="minorHAnsi"/>
        </w:rPr>
        <w:t xml:space="preserve">You can use this channel even if you are bound by a non-disclosure agreement or other obligation of confidentiality. </w:t>
      </w:r>
    </w:p>
    <w:p w14:paraId="2BFBB01A" w14:textId="77777777" w:rsidR="00386349" w:rsidRPr="00386349" w:rsidRDefault="00386349" w:rsidP="00386349">
      <w:pPr>
        <w:spacing w:after="0"/>
        <w:ind w:left="0"/>
        <w:rPr>
          <w:rFonts w:eastAsiaTheme="minorEastAsia" w:cstheme="minorHAnsi"/>
        </w:rPr>
      </w:pPr>
    </w:p>
    <w:p w14:paraId="719FA82A" w14:textId="77777777" w:rsidR="00386349" w:rsidRDefault="00386349" w:rsidP="00386349">
      <w:pPr>
        <w:spacing w:after="0"/>
        <w:ind w:left="0"/>
        <w:rPr>
          <w:rFonts w:eastAsiaTheme="minorEastAsia" w:cstheme="minorHAnsi"/>
          <w:b/>
        </w:rPr>
      </w:pPr>
      <w:r w:rsidRPr="00386349">
        <w:rPr>
          <w:rFonts w:eastAsiaTheme="minorEastAsia" w:cstheme="minorHAnsi"/>
          <w:b/>
        </w:rPr>
        <w:t>What can be reported?</w:t>
      </w:r>
    </w:p>
    <w:p w14:paraId="78E4D821" w14:textId="77777777" w:rsidR="000817D9" w:rsidRPr="00386349" w:rsidRDefault="000817D9" w:rsidP="00386349">
      <w:pPr>
        <w:spacing w:after="0"/>
        <w:ind w:left="0"/>
        <w:rPr>
          <w:rFonts w:eastAsiaTheme="minorEastAsia" w:cstheme="minorHAnsi"/>
          <w:b/>
        </w:rPr>
      </w:pPr>
    </w:p>
    <w:p w14:paraId="364C3132" w14:textId="77777777" w:rsidR="00B22BF3" w:rsidRPr="00386349" w:rsidRDefault="00B22BF3" w:rsidP="00B22BF3">
      <w:pPr>
        <w:spacing w:after="0"/>
        <w:ind w:left="0"/>
        <w:rPr>
          <w:rFonts w:eastAsiaTheme="minorEastAsia" w:cstheme="minorHAnsi"/>
        </w:rPr>
      </w:pPr>
      <w:r>
        <w:rPr>
          <w:rFonts w:eastAsiaTheme="minorEastAsia" w:cstheme="minorHAnsi"/>
        </w:rPr>
        <w:t>You can report if</w:t>
      </w:r>
      <w:r w:rsidRPr="00386349">
        <w:rPr>
          <w:rFonts w:eastAsiaTheme="minorEastAsia" w:cstheme="minorHAnsi"/>
        </w:rPr>
        <w:t xml:space="preserve"> you have a reasonable basis for believing that:</w:t>
      </w:r>
    </w:p>
    <w:p w14:paraId="24082980" w14:textId="0979027F" w:rsidR="00B22BF3" w:rsidRPr="00386349" w:rsidRDefault="00B22BF3" w:rsidP="00B22BF3">
      <w:pPr>
        <w:numPr>
          <w:ilvl w:val="0"/>
          <w:numId w:val="3"/>
        </w:numPr>
        <w:spacing w:after="0"/>
        <w:contextualSpacing/>
        <w:rPr>
          <w:rFonts w:eastAsiaTheme="minorEastAsia" w:cstheme="minorHAnsi"/>
        </w:rPr>
      </w:pPr>
      <w:r w:rsidRPr="00386349">
        <w:rPr>
          <w:rFonts w:eastAsiaTheme="minorEastAsia" w:cstheme="minorHAnsi"/>
        </w:rPr>
        <w:t>an act or omission constitute</w:t>
      </w:r>
      <w:r>
        <w:rPr>
          <w:rFonts w:eastAsiaTheme="minorEastAsia" w:cstheme="minorHAnsi"/>
        </w:rPr>
        <w:t>s</w:t>
      </w:r>
      <w:r w:rsidRPr="00386349">
        <w:rPr>
          <w:rFonts w:eastAsiaTheme="minorEastAsia" w:cstheme="minorHAnsi"/>
        </w:rPr>
        <w:t xml:space="preserve"> a </w:t>
      </w:r>
      <w:r>
        <w:rPr>
          <w:rFonts w:eastAsiaTheme="minorEastAsia" w:cstheme="minorHAnsi"/>
        </w:rPr>
        <w:t>b</w:t>
      </w:r>
      <w:r w:rsidRPr="00386349">
        <w:rPr>
          <w:rFonts w:eastAsiaTheme="minorEastAsia" w:cstheme="minorHAnsi"/>
        </w:rPr>
        <w:t>reach</w:t>
      </w:r>
      <w:r w:rsidR="000F68F0">
        <w:rPr>
          <w:rFonts w:eastAsiaTheme="minorEastAsia" w:cstheme="minorHAnsi"/>
        </w:rPr>
        <w:t xml:space="preserve"> against the topics listed in annex 1</w:t>
      </w:r>
      <w:r w:rsidRPr="00386349">
        <w:rPr>
          <w:rFonts w:eastAsiaTheme="minorEastAsia" w:cstheme="minorHAnsi"/>
        </w:rPr>
        <w:t xml:space="preserve"> and </w:t>
      </w:r>
    </w:p>
    <w:p w14:paraId="682CE146" w14:textId="446662B4" w:rsidR="00B22BF3" w:rsidRPr="00386349" w:rsidRDefault="00B22BF3" w:rsidP="00B22BF3">
      <w:pPr>
        <w:numPr>
          <w:ilvl w:val="0"/>
          <w:numId w:val="3"/>
        </w:numPr>
        <w:spacing w:after="0"/>
        <w:contextualSpacing/>
        <w:rPr>
          <w:rFonts w:eastAsiaTheme="minorEastAsia" w:cstheme="minorHAnsi"/>
        </w:rPr>
      </w:pPr>
      <w:r>
        <w:rPr>
          <w:rFonts w:eastAsiaTheme="minorEastAsia" w:cstheme="minorHAnsi"/>
        </w:rPr>
        <w:t xml:space="preserve">such breach has </w:t>
      </w:r>
      <w:r w:rsidRPr="00386349">
        <w:rPr>
          <w:rFonts w:eastAsiaTheme="minorEastAsia" w:cstheme="minorHAnsi"/>
        </w:rPr>
        <w:t xml:space="preserve">occurred or is highly likely to occur. </w:t>
      </w:r>
    </w:p>
    <w:p w14:paraId="131A949E" w14:textId="28929CB0" w:rsidR="00B22BF3" w:rsidRPr="00005F66" w:rsidRDefault="00B22BF3" w:rsidP="00005F66">
      <w:pPr>
        <w:spacing w:after="0"/>
        <w:ind w:left="360"/>
        <w:rPr>
          <w:rFonts w:eastAsiaTheme="minorEastAsia" w:cstheme="minorHAnsi"/>
        </w:rPr>
      </w:pPr>
    </w:p>
    <w:p w14:paraId="38F488C9" w14:textId="77777777" w:rsidR="00B22BF3" w:rsidRPr="00386349" w:rsidRDefault="00B22BF3" w:rsidP="00B22BF3">
      <w:pPr>
        <w:spacing w:after="0"/>
        <w:ind w:left="0"/>
        <w:rPr>
          <w:rFonts w:eastAsiaTheme="minorEastAsia" w:cstheme="minorHAnsi"/>
        </w:rPr>
      </w:pPr>
      <w:r>
        <w:rPr>
          <w:rFonts w:eastAsiaTheme="minorEastAsia" w:cstheme="minorHAnsi"/>
        </w:rPr>
        <w:t>B</w:t>
      </w:r>
      <w:r w:rsidRPr="00386349">
        <w:rPr>
          <w:rFonts w:eastAsiaTheme="minorEastAsia" w:cstheme="minorHAnsi"/>
        </w:rPr>
        <w:t>efore reporting</w:t>
      </w:r>
      <w:r>
        <w:rPr>
          <w:rFonts w:eastAsiaTheme="minorEastAsia" w:cstheme="minorHAnsi"/>
        </w:rPr>
        <w:t>, it is important that</w:t>
      </w:r>
      <w:r w:rsidRPr="00386349">
        <w:rPr>
          <w:rFonts w:eastAsiaTheme="minorEastAsia" w:cstheme="minorHAnsi"/>
        </w:rPr>
        <w:t xml:space="preserve"> you evaluate if your belief is based on facts and not on hearsay. </w:t>
      </w:r>
    </w:p>
    <w:p w14:paraId="19B3DEF2" w14:textId="77777777" w:rsidR="00386349" w:rsidRPr="00386349" w:rsidRDefault="00386349" w:rsidP="00386349">
      <w:pPr>
        <w:spacing w:after="0"/>
        <w:ind w:left="0"/>
        <w:rPr>
          <w:rFonts w:eastAsiaTheme="minorEastAsia" w:cstheme="minorHAnsi"/>
        </w:rPr>
      </w:pPr>
    </w:p>
    <w:p w14:paraId="247CA200" w14:textId="77777777" w:rsidR="00386349" w:rsidRDefault="00386349" w:rsidP="00386349">
      <w:pPr>
        <w:spacing w:after="0"/>
        <w:ind w:left="0"/>
        <w:rPr>
          <w:rFonts w:eastAsiaTheme="minorEastAsia" w:cstheme="minorHAnsi"/>
        </w:rPr>
      </w:pPr>
      <w:r w:rsidRPr="00386349">
        <w:rPr>
          <w:rFonts w:eastAsiaTheme="minorEastAsia" w:cstheme="minorHAnsi"/>
        </w:rPr>
        <w:t xml:space="preserve">We encourage you to help us become a stronger and more transparent company by reporting any (potential) breach you witness. </w:t>
      </w:r>
    </w:p>
    <w:p w14:paraId="26FA9273" w14:textId="77777777" w:rsidR="00BB31C8" w:rsidRDefault="00BB31C8" w:rsidP="00386349">
      <w:pPr>
        <w:spacing w:after="0"/>
        <w:ind w:left="0"/>
        <w:rPr>
          <w:rFonts w:eastAsiaTheme="minorEastAsia" w:cstheme="minorHAnsi"/>
        </w:rPr>
      </w:pPr>
    </w:p>
    <w:p w14:paraId="2ADF8E42" w14:textId="77777777" w:rsidR="00BB31C8" w:rsidRPr="00386349" w:rsidRDefault="00BB31C8" w:rsidP="00BB31C8">
      <w:pPr>
        <w:spacing w:after="0"/>
        <w:ind w:left="0"/>
        <w:rPr>
          <w:rFonts w:eastAsiaTheme="minorEastAsia" w:cstheme="minorHAnsi"/>
          <w:b/>
        </w:rPr>
      </w:pPr>
      <w:r w:rsidRPr="00386349">
        <w:rPr>
          <w:rFonts w:eastAsiaTheme="minorEastAsia" w:cstheme="minorHAnsi"/>
          <w:b/>
        </w:rPr>
        <w:t>Guidance &amp; how to report?</w:t>
      </w:r>
    </w:p>
    <w:p w14:paraId="5D614880" w14:textId="77777777" w:rsidR="00BB31C8" w:rsidRPr="00386349" w:rsidRDefault="00BB31C8" w:rsidP="00BB31C8">
      <w:pPr>
        <w:spacing w:after="0"/>
        <w:ind w:left="0"/>
        <w:rPr>
          <w:rFonts w:eastAsiaTheme="minorEastAsia" w:cstheme="minorHAnsi"/>
        </w:rPr>
      </w:pPr>
    </w:p>
    <w:p w14:paraId="6FDF96B3" w14:textId="77777777" w:rsidR="002627CC" w:rsidRPr="00386349" w:rsidRDefault="002627CC" w:rsidP="002627CC">
      <w:pPr>
        <w:spacing w:after="0"/>
        <w:ind w:left="0"/>
        <w:rPr>
          <w:rFonts w:eastAsiaTheme="minorEastAsia" w:cstheme="minorHAnsi"/>
        </w:rPr>
      </w:pPr>
      <w:r>
        <w:rPr>
          <w:rFonts w:eastAsiaTheme="minorEastAsia" w:cstheme="minorHAnsi"/>
        </w:rPr>
        <w:t>AWDC</w:t>
      </w:r>
      <w:r w:rsidRPr="00386349">
        <w:rPr>
          <w:rFonts w:eastAsiaTheme="minorEastAsia" w:cstheme="minorHAnsi"/>
        </w:rPr>
        <w:t xml:space="preserve"> is a company embracing the speak-up culture and strongly encourages upholding high</w:t>
      </w:r>
      <w:r>
        <w:rPr>
          <w:rFonts w:eastAsiaTheme="minorEastAsia" w:cstheme="minorHAnsi"/>
        </w:rPr>
        <w:t>ly</w:t>
      </w:r>
      <w:r w:rsidRPr="00386349">
        <w:rPr>
          <w:rFonts w:eastAsiaTheme="minorEastAsia" w:cstheme="minorHAnsi"/>
        </w:rPr>
        <w:t xml:space="preserve"> ethical standards.</w:t>
      </w:r>
    </w:p>
    <w:p w14:paraId="11AE898D" w14:textId="77777777" w:rsidR="002627CC" w:rsidRDefault="002627CC" w:rsidP="00B22BF3">
      <w:pPr>
        <w:spacing w:after="0"/>
        <w:ind w:left="0"/>
        <w:rPr>
          <w:rFonts w:eastAsiaTheme="minorEastAsia" w:cstheme="minorHAnsi"/>
        </w:rPr>
      </w:pPr>
    </w:p>
    <w:p w14:paraId="3A715DB9" w14:textId="7B41CF74" w:rsidR="002627CC" w:rsidRDefault="002627CC" w:rsidP="00B22BF3">
      <w:pPr>
        <w:spacing w:after="0"/>
        <w:ind w:left="0"/>
        <w:rPr>
          <w:rFonts w:eastAsiaTheme="minorEastAsia" w:cstheme="minorHAnsi"/>
        </w:rPr>
      </w:pPr>
      <w:r w:rsidRPr="002627CC">
        <w:rPr>
          <w:rFonts w:eastAsiaTheme="minorEastAsia" w:cstheme="minorHAnsi"/>
        </w:rPr>
        <w:t xml:space="preserve">The main principle of the </w:t>
      </w:r>
      <w:r>
        <w:rPr>
          <w:rFonts w:eastAsiaTheme="minorEastAsia" w:cstheme="minorHAnsi"/>
        </w:rPr>
        <w:t xml:space="preserve">Whistleblowing channel </w:t>
      </w:r>
      <w:r w:rsidRPr="002627CC">
        <w:rPr>
          <w:rFonts w:eastAsiaTheme="minorEastAsia" w:cstheme="minorHAnsi"/>
        </w:rPr>
        <w:t xml:space="preserve">is the protection of the </w:t>
      </w:r>
      <w:r>
        <w:rPr>
          <w:rFonts w:eastAsiaTheme="minorEastAsia" w:cstheme="minorHAnsi"/>
        </w:rPr>
        <w:t>Whistleblower</w:t>
      </w:r>
      <w:r w:rsidRPr="002627CC">
        <w:rPr>
          <w:rFonts w:eastAsiaTheme="minorEastAsia" w:cstheme="minorHAnsi"/>
        </w:rPr>
        <w:t xml:space="preserve">. Breaches falling within the material scope of this Policy may be reported by </w:t>
      </w:r>
      <w:r>
        <w:rPr>
          <w:rFonts w:eastAsiaTheme="minorEastAsia" w:cstheme="minorHAnsi"/>
        </w:rPr>
        <w:t>e</w:t>
      </w:r>
      <w:r w:rsidRPr="002627CC">
        <w:rPr>
          <w:rFonts w:eastAsiaTheme="minorEastAsia" w:cstheme="minorHAnsi"/>
        </w:rPr>
        <w:t>mployees</w:t>
      </w:r>
    </w:p>
    <w:p w14:paraId="0AB5FD15" w14:textId="77777777" w:rsidR="00604EE5" w:rsidRDefault="00604EE5" w:rsidP="00B22BF3">
      <w:pPr>
        <w:spacing w:after="0"/>
        <w:ind w:left="0"/>
        <w:rPr>
          <w:rFonts w:eastAsiaTheme="minorEastAsia" w:cstheme="minorHAnsi"/>
        </w:rPr>
      </w:pPr>
    </w:p>
    <w:p w14:paraId="756EBD9B" w14:textId="2820BB16" w:rsidR="00B22BF3" w:rsidRPr="00386349" w:rsidRDefault="006C51D2" w:rsidP="00B22BF3">
      <w:pPr>
        <w:spacing w:after="0"/>
        <w:ind w:left="0"/>
        <w:rPr>
          <w:rFonts w:eastAsiaTheme="minorEastAsia" w:cstheme="minorHAnsi"/>
        </w:rPr>
      </w:pPr>
      <w:r>
        <w:rPr>
          <w:rFonts w:eastAsiaTheme="minorEastAsia" w:cstheme="minorHAnsi"/>
        </w:rPr>
        <w:t>AWDC</w:t>
      </w:r>
      <w:r w:rsidR="00B22BF3" w:rsidRPr="00386349">
        <w:rPr>
          <w:rFonts w:eastAsiaTheme="minorEastAsia" w:cstheme="minorHAnsi"/>
        </w:rPr>
        <w:t xml:space="preserve"> </w:t>
      </w:r>
      <w:r w:rsidR="00B22BF3">
        <w:rPr>
          <w:rFonts w:eastAsiaTheme="minorEastAsia" w:cstheme="minorHAnsi"/>
        </w:rPr>
        <w:t>has invested</w:t>
      </w:r>
      <w:r w:rsidR="00B22BF3" w:rsidRPr="00386349">
        <w:rPr>
          <w:rFonts w:eastAsiaTheme="minorEastAsia" w:cstheme="minorHAnsi"/>
        </w:rPr>
        <w:t xml:space="preserve"> in setting up a whistleblowing channel where internal reports can be submitted in a confidential and even anonymous way. </w:t>
      </w:r>
      <w:r>
        <w:rPr>
          <w:rFonts w:eastAsiaTheme="minorEastAsia" w:cstheme="minorHAnsi"/>
        </w:rPr>
        <w:t>AWDC</w:t>
      </w:r>
      <w:r w:rsidR="00B22BF3" w:rsidRPr="00386349">
        <w:rPr>
          <w:rFonts w:eastAsiaTheme="minorEastAsia" w:cstheme="minorHAnsi"/>
        </w:rPr>
        <w:t xml:space="preserve"> guarantees that reports will be handled in a professional and impartial </w:t>
      </w:r>
      <w:r w:rsidR="00B22BF3">
        <w:rPr>
          <w:rFonts w:eastAsiaTheme="minorEastAsia" w:cstheme="minorHAnsi"/>
        </w:rPr>
        <w:t>manner</w:t>
      </w:r>
      <w:r w:rsidR="00B22BF3" w:rsidRPr="00386349">
        <w:rPr>
          <w:rFonts w:eastAsiaTheme="minorEastAsia" w:cstheme="minorHAnsi"/>
        </w:rPr>
        <w:t>. Via this internal reporting channel</w:t>
      </w:r>
      <w:r w:rsidR="00B22BF3">
        <w:rPr>
          <w:rFonts w:eastAsiaTheme="minorEastAsia" w:cstheme="minorHAnsi"/>
        </w:rPr>
        <w:t>,</w:t>
      </w:r>
      <w:r w:rsidR="00B22BF3" w:rsidRPr="00386349">
        <w:rPr>
          <w:rFonts w:eastAsiaTheme="minorEastAsia" w:cstheme="minorHAnsi"/>
        </w:rPr>
        <w:t xml:space="preserve"> every suspected or actual breach against the topics listed in Annex 1 can be reported by a whistleblower. </w:t>
      </w:r>
    </w:p>
    <w:p w14:paraId="635E50BD" w14:textId="77777777" w:rsidR="00BB31C8" w:rsidRPr="00386349" w:rsidRDefault="00BB31C8" w:rsidP="00BB31C8">
      <w:pPr>
        <w:spacing w:after="0"/>
        <w:ind w:left="0"/>
        <w:rPr>
          <w:rFonts w:eastAsiaTheme="minorEastAsia" w:cstheme="minorHAnsi"/>
        </w:rPr>
      </w:pPr>
    </w:p>
    <w:p w14:paraId="344C3BE7" w14:textId="2CE33D62" w:rsidR="00BB31C8" w:rsidRPr="00386349" w:rsidRDefault="00BB31C8" w:rsidP="00BB31C8">
      <w:pPr>
        <w:spacing w:after="0"/>
        <w:ind w:left="0"/>
        <w:rPr>
          <w:rFonts w:eastAsiaTheme="minorEastAsia" w:cstheme="minorHAnsi"/>
        </w:rPr>
      </w:pPr>
      <w:r w:rsidRPr="00386349">
        <w:rPr>
          <w:rFonts w:eastAsiaTheme="minorEastAsia" w:cstheme="minorHAnsi"/>
        </w:rPr>
        <w:lastRenderedPageBreak/>
        <w:t xml:space="preserve">Every report is received by the Whistleblowing Officer of </w:t>
      </w:r>
      <w:r w:rsidR="006C51D2">
        <w:rPr>
          <w:rFonts w:eastAsiaTheme="minorEastAsia" w:cstheme="minorHAnsi"/>
        </w:rPr>
        <w:t>AWDC</w:t>
      </w:r>
      <w:r w:rsidRPr="00386349">
        <w:rPr>
          <w:rFonts w:eastAsiaTheme="minorEastAsia" w:cstheme="minorHAnsi"/>
        </w:rPr>
        <w:t xml:space="preserve"> who will treat </w:t>
      </w:r>
      <w:r w:rsidR="0001134F">
        <w:rPr>
          <w:rFonts w:eastAsiaTheme="minorEastAsia" w:cstheme="minorHAnsi"/>
        </w:rPr>
        <w:t>it</w:t>
      </w:r>
      <w:r w:rsidRPr="00386349">
        <w:rPr>
          <w:rFonts w:eastAsiaTheme="minorEastAsia" w:cstheme="minorHAnsi"/>
        </w:rPr>
        <w:t xml:space="preserve"> diligently and in a timely manner.  </w:t>
      </w:r>
    </w:p>
    <w:p w14:paraId="6BA2CD34" w14:textId="77777777" w:rsidR="00BB31C8" w:rsidRPr="00386349" w:rsidRDefault="00BB31C8" w:rsidP="00BB31C8">
      <w:pPr>
        <w:spacing w:after="0"/>
        <w:ind w:left="0"/>
        <w:rPr>
          <w:rFonts w:eastAsiaTheme="minorEastAsia" w:cstheme="minorHAnsi"/>
        </w:rPr>
      </w:pPr>
    </w:p>
    <w:p w14:paraId="5FA73E3F" w14:textId="0AABF805" w:rsidR="00BB31C8" w:rsidRDefault="006C51D2" w:rsidP="00BB31C8">
      <w:pPr>
        <w:spacing w:after="0"/>
        <w:ind w:left="0"/>
        <w:rPr>
          <w:rFonts w:eastAsiaTheme="minorEastAsia" w:cstheme="minorHAnsi"/>
        </w:rPr>
      </w:pPr>
      <w:r>
        <w:rPr>
          <w:rFonts w:eastAsiaTheme="minorEastAsia" w:cstheme="minorHAnsi"/>
        </w:rPr>
        <w:t>AWDC</w:t>
      </w:r>
      <w:r w:rsidR="00BB31C8" w:rsidRPr="00386349">
        <w:rPr>
          <w:rFonts w:eastAsiaTheme="minorEastAsia" w:cstheme="minorHAnsi"/>
        </w:rPr>
        <w:t xml:space="preserve"> provides the possibility to report a breach in writing, via the web based platform </w:t>
      </w:r>
      <w:r w:rsidR="002627CC">
        <w:rPr>
          <w:rFonts w:eastAsiaTheme="minorEastAsia" w:cstheme="minorHAnsi"/>
        </w:rPr>
        <w:t>diamondintegrity</w:t>
      </w:r>
      <w:r w:rsidR="00A66247" w:rsidRPr="00A66247">
        <w:rPr>
          <w:rFonts w:eastAsiaTheme="minorEastAsia" w:cstheme="minorHAnsi"/>
        </w:rPr>
        <w:t>.grantthornton-whistle.co</w:t>
      </w:r>
      <w:r w:rsidR="002627CC">
        <w:rPr>
          <w:rFonts w:eastAsiaTheme="minorEastAsia" w:cstheme="minorHAnsi"/>
        </w:rPr>
        <w:t>m</w:t>
      </w:r>
      <w:r w:rsidR="00A66247" w:rsidRPr="00386349" w:rsidDel="00A66247">
        <w:rPr>
          <w:rFonts w:eastAsiaTheme="minorEastAsia" w:cstheme="minorHAnsi"/>
        </w:rPr>
        <w:t xml:space="preserve"> </w:t>
      </w:r>
      <w:r w:rsidR="00BB31C8" w:rsidRPr="00386349">
        <w:rPr>
          <w:rFonts w:eastAsiaTheme="minorEastAsia" w:cstheme="minorHAnsi"/>
        </w:rPr>
        <w:t xml:space="preserve">and this 24/7 in several languages. </w:t>
      </w:r>
    </w:p>
    <w:p w14:paraId="36C5CE1A" w14:textId="77777777" w:rsidR="002B0A21" w:rsidRDefault="002B0A21" w:rsidP="00BB31C8">
      <w:pPr>
        <w:spacing w:after="0"/>
        <w:ind w:left="0"/>
        <w:rPr>
          <w:rFonts w:eastAsiaTheme="minorEastAsia" w:cstheme="minorHAnsi"/>
        </w:rPr>
      </w:pPr>
    </w:p>
    <w:p w14:paraId="5D600A77" w14:textId="77777777" w:rsidR="002044E7" w:rsidRDefault="002044E7" w:rsidP="00386349">
      <w:pPr>
        <w:spacing w:after="0"/>
        <w:ind w:left="0"/>
        <w:rPr>
          <w:rFonts w:eastAsiaTheme="minorEastAsia" w:cstheme="minorHAnsi"/>
        </w:rPr>
      </w:pPr>
    </w:p>
    <w:p w14:paraId="14FCE803" w14:textId="77777777" w:rsidR="000817D9" w:rsidRDefault="000817D9" w:rsidP="00386349">
      <w:pPr>
        <w:spacing w:after="0"/>
        <w:ind w:left="0"/>
        <w:rPr>
          <w:rFonts w:eastAsiaTheme="minorEastAsia" w:cstheme="minorHAnsi"/>
        </w:rPr>
      </w:pPr>
    </w:p>
    <w:p w14:paraId="1735C7C1" w14:textId="6D7B0255" w:rsidR="002044E7" w:rsidRPr="0003100B" w:rsidRDefault="00033D8A" w:rsidP="00A66247">
      <w:pPr>
        <w:pStyle w:val="Lijstalinea"/>
        <w:numPr>
          <w:ilvl w:val="0"/>
          <w:numId w:val="5"/>
        </w:numPr>
        <w:spacing w:after="0"/>
        <w:rPr>
          <w:rFonts w:eastAsiaTheme="minorEastAsia" w:cstheme="minorHAnsi"/>
          <w:b/>
          <w:bCs/>
          <w:i/>
          <w:iCs/>
          <w:sz w:val="24"/>
          <w:szCs w:val="24"/>
        </w:rPr>
      </w:pPr>
      <w:r>
        <w:rPr>
          <w:rFonts w:eastAsiaTheme="minorEastAsia" w:cstheme="minorHAnsi"/>
          <w:b/>
          <w:bCs/>
          <w:i/>
          <w:iCs/>
          <w:sz w:val="24"/>
          <w:szCs w:val="24"/>
        </w:rPr>
        <w:t>Safeguarding the whistleblower</w:t>
      </w:r>
    </w:p>
    <w:p w14:paraId="5C5F9F0C" w14:textId="77777777" w:rsidR="00386349" w:rsidRPr="00386349" w:rsidRDefault="00386349" w:rsidP="00386349">
      <w:pPr>
        <w:spacing w:after="0"/>
        <w:ind w:left="0"/>
        <w:rPr>
          <w:rFonts w:eastAsiaTheme="minorEastAsia" w:cstheme="minorHAnsi"/>
        </w:rPr>
      </w:pPr>
    </w:p>
    <w:p w14:paraId="5B6564AA"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Protection of the whistleblower</w:t>
      </w:r>
    </w:p>
    <w:p w14:paraId="5BD3B30F" w14:textId="77777777" w:rsidR="00386349" w:rsidRPr="00386349" w:rsidRDefault="00386349" w:rsidP="00386349">
      <w:pPr>
        <w:spacing w:after="0"/>
        <w:ind w:left="0"/>
        <w:rPr>
          <w:rFonts w:eastAsiaTheme="minorEastAsia" w:cstheme="minorHAnsi"/>
        </w:rPr>
      </w:pPr>
    </w:p>
    <w:p w14:paraId="63893677" w14:textId="3BA518AF" w:rsidR="00386349" w:rsidRPr="00386349" w:rsidRDefault="006C51D2" w:rsidP="00386349">
      <w:pPr>
        <w:spacing w:after="0"/>
        <w:ind w:left="0"/>
        <w:rPr>
          <w:rFonts w:eastAsiaTheme="minorEastAsia" w:cstheme="minorHAnsi"/>
        </w:rPr>
      </w:pPr>
      <w:r>
        <w:rPr>
          <w:rFonts w:eastAsiaTheme="minorEastAsia" w:cstheme="minorHAnsi"/>
        </w:rPr>
        <w:t>AWDC</w:t>
      </w:r>
      <w:r w:rsidR="00386349" w:rsidRPr="00386349">
        <w:rPr>
          <w:rFonts w:eastAsiaTheme="minorEastAsia" w:cstheme="minorHAnsi"/>
        </w:rPr>
        <w:t xml:space="preserve"> seeks to create a safe environment where everyone has the possibility to raise concerns without fear of retaliation. </w:t>
      </w:r>
      <w:r>
        <w:rPr>
          <w:rFonts w:eastAsiaTheme="minorEastAsia" w:cstheme="minorHAnsi"/>
        </w:rPr>
        <w:t>AWDC</w:t>
      </w:r>
      <w:r w:rsidR="00386349" w:rsidRPr="00386349">
        <w:rPr>
          <w:rFonts w:eastAsiaTheme="minorEastAsia" w:cstheme="minorHAnsi"/>
        </w:rPr>
        <w:t xml:space="preserve"> does not tolerate any retaliation against anyone who has made a report in good faith or any person who confidentially assisted a whistleblower in the reporting process. </w:t>
      </w:r>
    </w:p>
    <w:p w14:paraId="21FB6247" w14:textId="77777777" w:rsidR="00386349" w:rsidRPr="00386349" w:rsidRDefault="00386349" w:rsidP="00386349">
      <w:pPr>
        <w:spacing w:after="0"/>
        <w:ind w:left="0"/>
        <w:rPr>
          <w:rFonts w:eastAsiaTheme="minorEastAsia" w:cstheme="minorHAnsi"/>
        </w:rPr>
      </w:pPr>
    </w:p>
    <w:p w14:paraId="43F5F89D" w14:textId="65C3044E" w:rsidR="00386349" w:rsidRPr="00386349" w:rsidRDefault="00CE0D95" w:rsidP="00386349">
      <w:pPr>
        <w:spacing w:after="0"/>
        <w:ind w:left="0"/>
        <w:rPr>
          <w:rFonts w:eastAsiaTheme="minorEastAsia" w:cstheme="minorHAnsi"/>
        </w:rPr>
      </w:pPr>
      <w:r>
        <w:rPr>
          <w:rFonts w:eastAsiaTheme="minorEastAsia" w:cstheme="minorHAnsi"/>
        </w:rPr>
        <w:t>A whistleblower is</w:t>
      </w:r>
      <w:r w:rsidR="00386349" w:rsidRPr="00386349">
        <w:rPr>
          <w:rFonts w:eastAsiaTheme="minorEastAsia" w:cstheme="minorHAnsi"/>
        </w:rPr>
        <w:t xml:space="preserve"> protected against any possible retaliatory measure and detrimental conduct</w:t>
      </w:r>
      <w:r w:rsidR="00A66247">
        <w:rPr>
          <w:rFonts w:eastAsiaTheme="minorEastAsia" w:cstheme="minorHAnsi"/>
        </w:rPr>
        <w:t xml:space="preserve"> by </w:t>
      </w:r>
      <w:r w:rsidR="006C51D2">
        <w:rPr>
          <w:rFonts w:eastAsiaTheme="minorEastAsia" w:cstheme="minorHAnsi"/>
        </w:rPr>
        <w:t>AWDC</w:t>
      </w:r>
      <w:r w:rsidR="00386349" w:rsidRPr="00386349">
        <w:rPr>
          <w:rFonts w:eastAsiaTheme="minorEastAsia" w:cstheme="minorHAnsi"/>
        </w:rPr>
        <w:t xml:space="preserve"> following his or her report.</w:t>
      </w:r>
    </w:p>
    <w:p w14:paraId="4E4F6910" w14:textId="77777777" w:rsidR="00386349" w:rsidRPr="00386349" w:rsidRDefault="00386349" w:rsidP="00386349">
      <w:pPr>
        <w:spacing w:after="0"/>
        <w:ind w:left="0"/>
        <w:rPr>
          <w:rFonts w:eastAsiaTheme="minorEastAsia" w:cstheme="minorHAnsi"/>
        </w:rPr>
      </w:pPr>
    </w:p>
    <w:p w14:paraId="577E7655" w14:textId="41C7171A" w:rsidR="00386349" w:rsidRPr="00386349" w:rsidRDefault="00386349" w:rsidP="00386349">
      <w:pPr>
        <w:spacing w:after="0"/>
        <w:ind w:left="0"/>
        <w:rPr>
          <w:rFonts w:eastAsiaTheme="minorEastAsia" w:cstheme="minorHAnsi"/>
        </w:rPr>
      </w:pPr>
      <w:r w:rsidRPr="00386349">
        <w:rPr>
          <w:rFonts w:eastAsiaTheme="minorEastAsia" w:cstheme="minorHAnsi"/>
        </w:rPr>
        <w:t xml:space="preserve">If a whistleblower feels that he or she is the target of a retaliatory measure, he or she should contact the Whistleblowing Officer via the internal reporting channel who will take the necessary steps to end the retaliatory measures. </w:t>
      </w:r>
      <w:r w:rsidR="006C51D2">
        <w:rPr>
          <w:rFonts w:eastAsiaTheme="minorEastAsia" w:cstheme="minorHAnsi"/>
        </w:rPr>
        <w:t>AWDC</w:t>
      </w:r>
      <w:r w:rsidRPr="00386349">
        <w:rPr>
          <w:rFonts w:eastAsiaTheme="minorEastAsia" w:cstheme="minorHAnsi"/>
        </w:rPr>
        <w:t xml:space="preserve"> will follow up on possible allegations of retaliation and commits itself to take the necessary measures in response to any act of retaliation.</w:t>
      </w:r>
    </w:p>
    <w:p w14:paraId="298E8DD2" w14:textId="77777777" w:rsidR="00386349" w:rsidRPr="00386349" w:rsidRDefault="00386349" w:rsidP="00386349">
      <w:pPr>
        <w:spacing w:after="0"/>
        <w:ind w:left="0"/>
        <w:rPr>
          <w:rFonts w:eastAsiaTheme="minorEastAsia" w:cstheme="minorHAnsi"/>
        </w:rPr>
      </w:pPr>
    </w:p>
    <w:p w14:paraId="5CE37D31" w14:textId="77777777" w:rsidR="00386349" w:rsidRPr="00386349" w:rsidRDefault="00386349" w:rsidP="00386349">
      <w:pPr>
        <w:spacing w:after="0"/>
        <w:ind w:left="0"/>
        <w:rPr>
          <w:rFonts w:eastAsiaTheme="minorEastAsia" w:cstheme="minorHAnsi"/>
        </w:rPr>
      </w:pPr>
      <w:r w:rsidRPr="00386349">
        <w:rPr>
          <w:rFonts w:eastAsiaTheme="minorEastAsia" w:cstheme="minorHAnsi"/>
        </w:rPr>
        <w:t>If a whistleblower makes a report not covered by the scope of this policy, he or she will not benefit from the protection of the whistleblower from this policy.</w:t>
      </w:r>
    </w:p>
    <w:p w14:paraId="1E469AB8" w14:textId="77777777" w:rsidR="00386349" w:rsidRPr="00386349" w:rsidRDefault="00386349" w:rsidP="00386349">
      <w:pPr>
        <w:spacing w:after="0"/>
        <w:ind w:left="0"/>
        <w:rPr>
          <w:rFonts w:eastAsiaTheme="minorEastAsia" w:cstheme="minorHAnsi"/>
        </w:rPr>
      </w:pPr>
    </w:p>
    <w:p w14:paraId="15AA3720"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Knowingly making false reports</w:t>
      </w:r>
    </w:p>
    <w:p w14:paraId="3E117588" w14:textId="77777777" w:rsidR="00386349" w:rsidRPr="00386349" w:rsidRDefault="00386349" w:rsidP="00386349">
      <w:pPr>
        <w:spacing w:after="0"/>
        <w:ind w:left="0"/>
        <w:rPr>
          <w:rFonts w:eastAsiaTheme="minorEastAsia" w:cstheme="minorHAnsi"/>
        </w:rPr>
      </w:pPr>
    </w:p>
    <w:p w14:paraId="3ED6B102" w14:textId="3609FD3F" w:rsidR="00386349" w:rsidRPr="00386349" w:rsidRDefault="00386349" w:rsidP="00386349">
      <w:pPr>
        <w:spacing w:after="0"/>
        <w:ind w:left="0"/>
        <w:rPr>
          <w:rFonts w:eastAsiaTheme="minorEastAsia" w:cstheme="minorHAnsi"/>
        </w:rPr>
      </w:pPr>
      <w:r w:rsidRPr="00386349">
        <w:rPr>
          <w:rFonts w:eastAsiaTheme="minorEastAsia" w:cstheme="minorHAnsi"/>
        </w:rPr>
        <w:t>If a whistleblower knowingly makes a false report</w:t>
      </w:r>
      <w:r w:rsidR="004D5282">
        <w:rPr>
          <w:rFonts w:eastAsiaTheme="minorEastAsia" w:cstheme="minorHAnsi"/>
        </w:rPr>
        <w:t>,</w:t>
      </w:r>
      <w:r w:rsidRPr="00386349">
        <w:rPr>
          <w:rFonts w:eastAsiaTheme="minorEastAsia" w:cstheme="minorHAnsi"/>
        </w:rPr>
        <w:t xml:space="preserve"> he or she will not benefit from the protection of the whistleblower </w:t>
      </w:r>
      <w:r w:rsidR="0004710D">
        <w:rPr>
          <w:rFonts w:eastAsiaTheme="minorEastAsia" w:cstheme="minorHAnsi"/>
        </w:rPr>
        <w:t>under</w:t>
      </w:r>
      <w:r w:rsidR="0004710D" w:rsidRPr="00386349">
        <w:rPr>
          <w:rFonts w:eastAsiaTheme="minorEastAsia" w:cstheme="minorHAnsi"/>
        </w:rPr>
        <w:t xml:space="preserve"> </w:t>
      </w:r>
      <w:r w:rsidRPr="00386349">
        <w:rPr>
          <w:rFonts w:eastAsiaTheme="minorEastAsia" w:cstheme="minorHAnsi"/>
        </w:rPr>
        <w:t xml:space="preserve">this policy. Also, possible disciplinary actions by </w:t>
      </w:r>
      <w:r w:rsidR="006C51D2">
        <w:rPr>
          <w:rFonts w:eastAsiaTheme="minorEastAsia" w:cstheme="minorHAnsi"/>
        </w:rPr>
        <w:t>AWDC</w:t>
      </w:r>
      <w:r w:rsidRPr="00386349">
        <w:rPr>
          <w:rFonts w:eastAsiaTheme="minorEastAsia" w:cstheme="minorHAnsi"/>
        </w:rPr>
        <w:t xml:space="preserve"> can be taken. Making a report in good faith, </w:t>
      </w:r>
      <w:r w:rsidR="002F5A3A">
        <w:rPr>
          <w:rFonts w:eastAsiaTheme="minorEastAsia" w:cstheme="minorHAnsi"/>
        </w:rPr>
        <w:t>which</w:t>
      </w:r>
      <w:r w:rsidR="002F5A3A" w:rsidRPr="00386349">
        <w:rPr>
          <w:rFonts w:eastAsiaTheme="minorEastAsia" w:cstheme="minorHAnsi"/>
        </w:rPr>
        <w:t xml:space="preserve"> </w:t>
      </w:r>
      <w:r w:rsidRPr="00386349">
        <w:rPr>
          <w:rFonts w:eastAsiaTheme="minorEastAsia" w:cstheme="minorHAnsi"/>
        </w:rPr>
        <w:t xml:space="preserve">after an investigation proves to be </w:t>
      </w:r>
      <w:r w:rsidR="002F5A3A">
        <w:rPr>
          <w:rFonts w:eastAsiaTheme="minorEastAsia" w:cstheme="minorHAnsi"/>
        </w:rPr>
        <w:t>wrong</w:t>
      </w:r>
      <w:r w:rsidRPr="00386349">
        <w:rPr>
          <w:rFonts w:eastAsiaTheme="minorEastAsia" w:cstheme="minorHAnsi"/>
        </w:rPr>
        <w:t xml:space="preserve">, does not constitute a false report. </w:t>
      </w:r>
    </w:p>
    <w:p w14:paraId="0824FCF1" w14:textId="77777777" w:rsidR="00386349" w:rsidRPr="00386349" w:rsidRDefault="00386349" w:rsidP="00386349">
      <w:pPr>
        <w:spacing w:after="0"/>
        <w:ind w:left="0"/>
        <w:rPr>
          <w:rFonts w:eastAsiaTheme="minorEastAsia" w:cstheme="minorHAnsi"/>
        </w:rPr>
      </w:pPr>
    </w:p>
    <w:p w14:paraId="0E085DEE"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Confidentiality</w:t>
      </w:r>
    </w:p>
    <w:p w14:paraId="720825A9" w14:textId="77777777" w:rsidR="00386349" w:rsidRPr="00386349" w:rsidRDefault="00386349" w:rsidP="00386349">
      <w:pPr>
        <w:spacing w:after="0"/>
        <w:ind w:left="0"/>
        <w:rPr>
          <w:rFonts w:eastAsiaTheme="minorEastAsia" w:cstheme="minorHAnsi"/>
        </w:rPr>
      </w:pPr>
    </w:p>
    <w:p w14:paraId="3D99B90F" w14:textId="77777777" w:rsidR="00386349" w:rsidRPr="00386349" w:rsidRDefault="00386349" w:rsidP="00386349">
      <w:pPr>
        <w:spacing w:after="0"/>
        <w:ind w:left="0"/>
        <w:rPr>
          <w:rFonts w:eastAsiaTheme="minorEastAsia" w:cstheme="minorHAnsi"/>
        </w:rPr>
      </w:pPr>
      <w:r w:rsidRPr="00386349">
        <w:rPr>
          <w:rFonts w:eastAsiaTheme="minorEastAsia" w:cstheme="minorHAnsi"/>
        </w:rPr>
        <w:t xml:space="preserve">We guarantee that all reports will be treated in a confidential manner and will only be shared on a need-to-know basis. </w:t>
      </w:r>
    </w:p>
    <w:p w14:paraId="4D5D473F" w14:textId="77777777" w:rsidR="00386349" w:rsidRPr="00386349" w:rsidRDefault="00386349" w:rsidP="00386349">
      <w:pPr>
        <w:spacing w:after="0"/>
        <w:ind w:left="0"/>
        <w:rPr>
          <w:rFonts w:eastAsiaTheme="minorEastAsia" w:cstheme="minorHAnsi"/>
        </w:rPr>
      </w:pPr>
    </w:p>
    <w:p w14:paraId="0E830AB7" w14:textId="10C90D6B" w:rsidR="00386349" w:rsidRDefault="00386349" w:rsidP="00386349">
      <w:pPr>
        <w:spacing w:after="0"/>
        <w:ind w:left="0"/>
        <w:rPr>
          <w:rFonts w:eastAsiaTheme="minorEastAsia" w:cstheme="minorHAnsi"/>
        </w:rPr>
      </w:pPr>
      <w:r w:rsidRPr="00386349">
        <w:rPr>
          <w:rFonts w:eastAsiaTheme="minorEastAsia" w:cstheme="minorHAnsi"/>
        </w:rPr>
        <w:t xml:space="preserve">The identity of the whistleblower will be protected during the entire process (principle of 'confidentiality’).  When he or she reports a breach, the whistleblower is not obliged to identify him- or herself (principle of ‘anonymity’).  If he or she chooses to register his or her identity, the identity will always be treated in a confidential way: </w:t>
      </w:r>
      <w:r w:rsidR="008256D5">
        <w:rPr>
          <w:rFonts w:eastAsiaTheme="minorEastAsia" w:cstheme="minorHAnsi"/>
        </w:rPr>
        <w:t>t</w:t>
      </w:r>
      <w:r w:rsidRPr="00386349">
        <w:rPr>
          <w:rFonts w:eastAsiaTheme="minorEastAsia" w:cstheme="minorHAnsi"/>
        </w:rPr>
        <w:t xml:space="preserve">his means that only the Whistleblowing Officer will know his or her identity. If the whistleblower chooses to make a report in an anonymous way: this means that nobody will know his or her identity. </w:t>
      </w:r>
    </w:p>
    <w:p w14:paraId="48D8FC2D" w14:textId="77777777" w:rsidR="00033D8A" w:rsidRDefault="00033D8A" w:rsidP="00386349">
      <w:pPr>
        <w:spacing w:after="0"/>
        <w:ind w:left="0"/>
        <w:rPr>
          <w:rFonts w:eastAsiaTheme="minorEastAsia" w:cstheme="minorHAnsi"/>
        </w:rPr>
      </w:pPr>
    </w:p>
    <w:p w14:paraId="583E2920" w14:textId="3023FCE9" w:rsidR="00033D8A" w:rsidRPr="00A66247" w:rsidRDefault="00033D8A" w:rsidP="00A66247">
      <w:pPr>
        <w:pStyle w:val="Lijstalinea"/>
        <w:numPr>
          <w:ilvl w:val="0"/>
          <w:numId w:val="5"/>
        </w:numPr>
        <w:spacing w:after="0"/>
        <w:rPr>
          <w:rFonts w:eastAsiaTheme="minorEastAsia" w:cstheme="minorHAnsi"/>
          <w:b/>
          <w:bCs/>
          <w:i/>
          <w:iCs/>
          <w:sz w:val="24"/>
          <w:szCs w:val="24"/>
        </w:rPr>
      </w:pPr>
      <w:r w:rsidRPr="00A66247">
        <w:rPr>
          <w:rFonts w:eastAsiaTheme="minorEastAsia" w:cstheme="minorHAnsi"/>
          <w:b/>
          <w:bCs/>
          <w:i/>
          <w:iCs/>
          <w:sz w:val="24"/>
          <w:szCs w:val="24"/>
        </w:rPr>
        <w:t>Whistleblowing Officer</w:t>
      </w:r>
    </w:p>
    <w:p w14:paraId="543EC541" w14:textId="77777777" w:rsidR="00386349" w:rsidRPr="00386349" w:rsidRDefault="00386349" w:rsidP="00386349">
      <w:pPr>
        <w:spacing w:after="0"/>
        <w:ind w:left="0"/>
        <w:rPr>
          <w:rFonts w:eastAsiaTheme="minorEastAsia" w:cstheme="minorHAnsi"/>
        </w:rPr>
      </w:pPr>
    </w:p>
    <w:p w14:paraId="07221FFD"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Independence of the Whistleblowing Officer</w:t>
      </w:r>
    </w:p>
    <w:p w14:paraId="4331EA6D" w14:textId="77777777" w:rsidR="00386349" w:rsidRPr="00386349" w:rsidRDefault="00386349" w:rsidP="00386349">
      <w:pPr>
        <w:spacing w:after="0"/>
        <w:ind w:left="0"/>
        <w:rPr>
          <w:rFonts w:eastAsiaTheme="minorEastAsia" w:cstheme="minorHAnsi"/>
        </w:rPr>
      </w:pPr>
    </w:p>
    <w:p w14:paraId="6462E893" w14:textId="77777777" w:rsidR="00D117D3" w:rsidRDefault="006C51D2" w:rsidP="00386349">
      <w:pPr>
        <w:spacing w:after="0"/>
        <w:ind w:left="0"/>
        <w:rPr>
          <w:rFonts w:eastAsiaTheme="minorEastAsia" w:cstheme="minorHAnsi"/>
        </w:rPr>
      </w:pPr>
      <w:r>
        <w:rPr>
          <w:rFonts w:eastAsiaTheme="minorEastAsia" w:cstheme="minorHAnsi"/>
        </w:rPr>
        <w:lastRenderedPageBreak/>
        <w:t>AWDC</w:t>
      </w:r>
      <w:r w:rsidR="00386349" w:rsidRPr="00386349">
        <w:rPr>
          <w:rFonts w:eastAsiaTheme="minorEastAsia" w:cstheme="minorHAnsi"/>
        </w:rPr>
        <w:t xml:space="preserve"> chooses to uphold the highest standards possible to guarantee the total independence and impartiality of the Whistleblowing Officer. </w:t>
      </w:r>
    </w:p>
    <w:p w14:paraId="1831067C" w14:textId="77777777" w:rsidR="00D117D3" w:rsidRDefault="00D117D3" w:rsidP="00386349">
      <w:pPr>
        <w:spacing w:after="0"/>
        <w:ind w:left="0"/>
        <w:rPr>
          <w:rFonts w:eastAsiaTheme="minorEastAsia" w:cstheme="minorHAnsi"/>
        </w:rPr>
      </w:pPr>
    </w:p>
    <w:p w14:paraId="6CFB364E" w14:textId="6C80EA5B" w:rsidR="00386349" w:rsidRPr="00386349" w:rsidRDefault="00386349" w:rsidP="00386349">
      <w:pPr>
        <w:spacing w:after="0"/>
        <w:ind w:left="0"/>
        <w:rPr>
          <w:rFonts w:eastAsiaTheme="minorEastAsia" w:cstheme="minorHAnsi"/>
          <w:lang w:val="en-GB"/>
        </w:rPr>
      </w:pPr>
      <w:r w:rsidRPr="00386349">
        <w:rPr>
          <w:rFonts w:eastAsiaTheme="minorEastAsia" w:cstheme="minorHAnsi"/>
        </w:rPr>
        <w:t xml:space="preserve">The function of the Whistleblowing Officer is being exercised by an independent member of </w:t>
      </w:r>
      <w:r w:rsidR="006C51D2">
        <w:rPr>
          <w:rFonts w:eastAsiaTheme="minorEastAsia" w:cstheme="minorHAnsi"/>
        </w:rPr>
        <w:t>AWDC</w:t>
      </w:r>
      <w:r w:rsidRPr="00386349">
        <w:rPr>
          <w:rFonts w:eastAsiaTheme="minorEastAsia" w:cstheme="minorHAnsi"/>
        </w:rPr>
        <w:t xml:space="preserve"> (the </w:t>
      </w:r>
      <w:r w:rsidR="00D117D3">
        <w:rPr>
          <w:rFonts w:eastAsiaTheme="minorEastAsia" w:cstheme="minorHAnsi"/>
        </w:rPr>
        <w:t>Compliance</w:t>
      </w:r>
      <w:r w:rsidRPr="00386349">
        <w:rPr>
          <w:rFonts w:eastAsiaTheme="minorEastAsia" w:cstheme="minorHAnsi"/>
        </w:rPr>
        <w:t xml:space="preserve"> Officer)</w:t>
      </w:r>
      <w:r w:rsidR="00F62F04">
        <w:rPr>
          <w:rFonts w:eastAsiaTheme="minorEastAsia" w:cstheme="minorHAnsi"/>
        </w:rPr>
        <w:t>,</w:t>
      </w:r>
      <w:r w:rsidRPr="00386349">
        <w:rPr>
          <w:rFonts w:eastAsiaTheme="minorEastAsia" w:cstheme="minorHAnsi"/>
        </w:rPr>
        <w:t xml:space="preserve"> </w:t>
      </w:r>
      <w:r w:rsidRPr="00386349">
        <w:rPr>
          <w:rFonts w:eastAsiaTheme="minorEastAsia" w:cstheme="minorHAnsi"/>
          <w:lang w:val="en-GB"/>
        </w:rPr>
        <w:t xml:space="preserve">who will provide duties and activities within the internal reporting channel of </w:t>
      </w:r>
      <w:r w:rsidR="006C51D2">
        <w:rPr>
          <w:rFonts w:eastAsiaTheme="minorEastAsia" w:cstheme="minorHAnsi"/>
          <w:lang w:val="en-GB"/>
        </w:rPr>
        <w:t>AWDC</w:t>
      </w:r>
      <w:r w:rsidRPr="00386349">
        <w:rPr>
          <w:rFonts w:eastAsiaTheme="minorEastAsia" w:cstheme="minorHAnsi"/>
          <w:lang w:val="en-GB"/>
        </w:rPr>
        <w:t xml:space="preserve"> as a </w:t>
      </w:r>
      <w:r w:rsidR="006B79AA" w:rsidRPr="00386349">
        <w:rPr>
          <w:rFonts w:eastAsiaTheme="minorEastAsia" w:cstheme="minorHAnsi"/>
          <w:lang w:val="en-GB"/>
        </w:rPr>
        <w:t>so-called</w:t>
      </w:r>
      <w:r w:rsidRPr="00386349">
        <w:rPr>
          <w:rFonts w:eastAsiaTheme="minorEastAsia" w:cstheme="minorHAnsi"/>
          <w:lang w:val="en-GB"/>
        </w:rPr>
        <w:t xml:space="preserve"> </w:t>
      </w:r>
      <w:r w:rsidRPr="00386349">
        <w:rPr>
          <w:rFonts w:eastAsiaTheme="minorEastAsia" w:cstheme="minorHAnsi"/>
          <w:b/>
          <w:lang w:val="en-GB"/>
        </w:rPr>
        <w:t>Whistleblowing Office</w:t>
      </w:r>
      <w:r w:rsidRPr="00386349">
        <w:rPr>
          <w:rFonts w:eastAsiaTheme="minorEastAsia" w:cstheme="minorHAnsi"/>
          <w:lang w:val="en-GB"/>
        </w:rPr>
        <w:t>r</w:t>
      </w:r>
      <w:r w:rsidR="00EF71EC">
        <w:rPr>
          <w:rFonts w:eastAsiaTheme="minorEastAsia" w:cstheme="minorHAnsi"/>
          <w:lang w:val="en-GB"/>
        </w:rPr>
        <w:t>,</w:t>
      </w:r>
      <w:r w:rsidRPr="00386349">
        <w:rPr>
          <w:rFonts w:eastAsiaTheme="minorEastAsia" w:cstheme="minorHAnsi"/>
          <w:lang w:val="en-GB"/>
        </w:rPr>
        <w:t xml:space="preserve"> assisted by the independent consultants of Grant Thornton.</w:t>
      </w:r>
    </w:p>
    <w:p w14:paraId="7C5F3EF3" w14:textId="77777777" w:rsidR="00386349" w:rsidRPr="00386349" w:rsidRDefault="00386349" w:rsidP="00386349">
      <w:pPr>
        <w:spacing w:after="0"/>
        <w:ind w:left="0"/>
        <w:rPr>
          <w:rFonts w:eastAsiaTheme="minorEastAsia" w:cstheme="minorHAnsi"/>
        </w:rPr>
      </w:pPr>
      <w:r w:rsidRPr="00386349">
        <w:rPr>
          <w:rFonts w:eastAsiaTheme="minorEastAsia" w:cstheme="minorHAnsi"/>
        </w:rPr>
        <w:t xml:space="preserve"> </w:t>
      </w:r>
    </w:p>
    <w:p w14:paraId="6CFEF0C7" w14:textId="1A4F6F49" w:rsidR="00386349" w:rsidRPr="00386349" w:rsidRDefault="006C51D2" w:rsidP="00386349">
      <w:pPr>
        <w:spacing w:after="0"/>
        <w:ind w:left="0"/>
        <w:rPr>
          <w:rFonts w:eastAsiaTheme="minorEastAsia" w:cstheme="minorHAnsi"/>
        </w:rPr>
      </w:pPr>
      <w:r>
        <w:rPr>
          <w:rFonts w:eastAsiaTheme="minorEastAsia" w:cstheme="minorHAnsi"/>
        </w:rPr>
        <w:t>AWDC</w:t>
      </w:r>
      <w:r w:rsidR="00386349" w:rsidRPr="00386349">
        <w:rPr>
          <w:rFonts w:eastAsiaTheme="minorEastAsia" w:cstheme="minorHAnsi"/>
        </w:rPr>
        <w:t xml:space="preserve"> guarantees the impartiality and independence of the internal reporting channel of </w:t>
      </w:r>
      <w:r>
        <w:rPr>
          <w:rFonts w:eastAsiaTheme="minorEastAsia" w:cstheme="minorHAnsi"/>
        </w:rPr>
        <w:t>AWDC</w:t>
      </w:r>
      <w:r w:rsidR="00386349" w:rsidRPr="00386349">
        <w:rPr>
          <w:rFonts w:eastAsiaTheme="minorEastAsia" w:cstheme="minorHAnsi"/>
        </w:rPr>
        <w:t xml:space="preserve">. Reports will be treated by a team of professionals that cannot follow direct instructions of </w:t>
      </w:r>
      <w:r>
        <w:rPr>
          <w:rFonts w:eastAsiaTheme="minorEastAsia" w:cstheme="minorHAnsi"/>
        </w:rPr>
        <w:t>AWDC</w:t>
      </w:r>
      <w:r w:rsidR="00386349" w:rsidRPr="00386349">
        <w:rPr>
          <w:rFonts w:eastAsiaTheme="minorEastAsia" w:cstheme="minorHAnsi"/>
        </w:rPr>
        <w:t xml:space="preserve"> management regarding the processing of reports or possible investigations. </w:t>
      </w:r>
    </w:p>
    <w:p w14:paraId="0B67EFEB" w14:textId="77777777" w:rsidR="00386349" w:rsidRPr="00386349" w:rsidRDefault="00386349" w:rsidP="00386349">
      <w:pPr>
        <w:spacing w:after="0"/>
        <w:ind w:left="0"/>
        <w:rPr>
          <w:rFonts w:eastAsiaTheme="minorEastAsia" w:cstheme="minorHAnsi"/>
        </w:rPr>
      </w:pPr>
    </w:p>
    <w:p w14:paraId="2D6BB3F5" w14:textId="470C9DEA" w:rsidR="00386349" w:rsidRDefault="00386349" w:rsidP="00386349">
      <w:pPr>
        <w:spacing w:after="0"/>
        <w:ind w:left="0"/>
        <w:rPr>
          <w:rFonts w:eastAsiaTheme="minorEastAsia" w:cstheme="minorHAnsi"/>
        </w:rPr>
      </w:pPr>
      <w:r w:rsidRPr="00386349">
        <w:rPr>
          <w:rFonts w:eastAsiaTheme="minorEastAsia" w:cstheme="minorHAnsi"/>
        </w:rPr>
        <w:t>The Whistleblowing Officer assisted by the consultants of Grant Thornton provides for the receipt, admissibility of reports and possibly the coordination of the investigation (if mandated) as well as the transmission of feed</w:t>
      </w:r>
      <w:r w:rsidR="00C53B3F">
        <w:rPr>
          <w:rFonts w:eastAsiaTheme="minorEastAsia" w:cstheme="minorHAnsi"/>
        </w:rPr>
        <w:t>back</w:t>
      </w:r>
      <w:r w:rsidRPr="00386349">
        <w:rPr>
          <w:rFonts w:eastAsiaTheme="minorEastAsia" w:cstheme="minorHAnsi"/>
        </w:rPr>
        <w:t xml:space="preserve"> from </w:t>
      </w:r>
      <w:r w:rsidR="006C51D2">
        <w:rPr>
          <w:rFonts w:eastAsiaTheme="minorEastAsia" w:cstheme="minorHAnsi"/>
        </w:rPr>
        <w:t>AWDC</w:t>
      </w:r>
      <w:r w:rsidRPr="00386349">
        <w:rPr>
          <w:rFonts w:eastAsiaTheme="minorEastAsia" w:cstheme="minorHAnsi"/>
        </w:rPr>
        <w:t xml:space="preserve"> to the whistleblower.</w:t>
      </w:r>
    </w:p>
    <w:p w14:paraId="58350B92" w14:textId="77777777" w:rsidR="00177CB2" w:rsidRPr="00386349" w:rsidRDefault="00177CB2" w:rsidP="00386349">
      <w:pPr>
        <w:spacing w:after="0"/>
        <w:ind w:left="0"/>
        <w:rPr>
          <w:rFonts w:eastAsiaTheme="minorEastAsia" w:cstheme="minorHAnsi"/>
        </w:rPr>
      </w:pPr>
    </w:p>
    <w:p w14:paraId="17E39094" w14:textId="77777777" w:rsidR="00386349" w:rsidRDefault="00386349" w:rsidP="00386349">
      <w:pPr>
        <w:spacing w:after="0"/>
        <w:ind w:left="0"/>
        <w:rPr>
          <w:rFonts w:eastAsiaTheme="minorEastAsia" w:cstheme="minorHAnsi"/>
        </w:rPr>
      </w:pPr>
      <w:r w:rsidRPr="00386349">
        <w:rPr>
          <w:rFonts w:eastAsiaTheme="minorEastAsia" w:cstheme="minorHAnsi"/>
        </w:rPr>
        <w:t xml:space="preserve">All cases will be handled by the Whistleblowing Officer assisted by the consultants of Grant Thornton who have experience and the necessary training in receiving and investigating reports. On a regular basis the Whistleblowing Officer benefits from training regarding the receiving and investigation of reports. </w:t>
      </w:r>
    </w:p>
    <w:p w14:paraId="0017FFDC" w14:textId="4A130049" w:rsidR="00C53B3F" w:rsidRDefault="00C53B3F">
      <w:pPr>
        <w:spacing w:after="160" w:line="259" w:lineRule="auto"/>
        <w:ind w:left="0"/>
        <w:rPr>
          <w:rFonts w:eastAsiaTheme="minorEastAsia" w:cstheme="minorHAnsi"/>
        </w:rPr>
      </w:pPr>
      <w:r>
        <w:rPr>
          <w:rFonts w:eastAsiaTheme="minorEastAsia" w:cstheme="minorHAnsi"/>
        </w:rPr>
        <w:br w:type="page"/>
      </w:r>
    </w:p>
    <w:p w14:paraId="55FEC809" w14:textId="77777777" w:rsidR="009D6597" w:rsidRDefault="009D6597" w:rsidP="00386349">
      <w:pPr>
        <w:spacing w:after="0"/>
        <w:ind w:left="0"/>
        <w:rPr>
          <w:rFonts w:eastAsiaTheme="minorEastAsia" w:cstheme="minorHAnsi"/>
        </w:rPr>
      </w:pPr>
    </w:p>
    <w:p w14:paraId="4077FAD4" w14:textId="0A24D46D" w:rsidR="009D6597" w:rsidRPr="009D6597" w:rsidRDefault="009D6597" w:rsidP="00A66247">
      <w:pPr>
        <w:pStyle w:val="Lijstalinea"/>
        <w:numPr>
          <w:ilvl w:val="0"/>
          <w:numId w:val="5"/>
        </w:numPr>
        <w:spacing w:after="0"/>
        <w:rPr>
          <w:rFonts w:eastAsiaTheme="minorEastAsia" w:cstheme="minorHAnsi"/>
          <w:b/>
          <w:bCs/>
          <w:i/>
          <w:iCs/>
          <w:sz w:val="24"/>
          <w:szCs w:val="24"/>
        </w:rPr>
      </w:pPr>
      <w:r w:rsidRPr="009D6597">
        <w:rPr>
          <w:rFonts w:eastAsiaTheme="minorEastAsia" w:cstheme="minorHAnsi"/>
          <w:b/>
          <w:bCs/>
          <w:i/>
          <w:iCs/>
          <w:sz w:val="24"/>
          <w:szCs w:val="24"/>
        </w:rPr>
        <w:t>Whistleblowing process</w:t>
      </w:r>
    </w:p>
    <w:p w14:paraId="102E37B0" w14:textId="77777777" w:rsidR="00386349" w:rsidRPr="00386349" w:rsidRDefault="00386349" w:rsidP="00386349">
      <w:pPr>
        <w:spacing w:after="0"/>
        <w:ind w:left="0"/>
        <w:rPr>
          <w:rFonts w:eastAsiaTheme="minorEastAsia" w:cstheme="minorHAnsi"/>
        </w:rPr>
      </w:pPr>
    </w:p>
    <w:p w14:paraId="581B1E12"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Process of the receipt of a report and advice on investigation thereof</w:t>
      </w:r>
    </w:p>
    <w:p w14:paraId="15703976" w14:textId="77777777" w:rsidR="00402152" w:rsidRDefault="00402152" w:rsidP="00402152">
      <w:pPr>
        <w:spacing w:after="0"/>
        <w:ind w:left="0"/>
        <w:rPr>
          <w:rFonts w:eastAsiaTheme="minorEastAsia" w:cstheme="minorHAnsi"/>
        </w:rPr>
      </w:pPr>
    </w:p>
    <w:p w14:paraId="0D591BB1" w14:textId="049490F3" w:rsidR="00402152" w:rsidRPr="002B0A21" w:rsidRDefault="00402152" w:rsidP="00402152">
      <w:pPr>
        <w:spacing w:after="0"/>
        <w:ind w:left="0"/>
        <w:rPr>
          <w:rFonts w:eastAsiaTheme="minorEastAsia" w:cstheme="minorHAnsi"/>
        </w:rPr>
      </w:pPr>
      <w:r w:rsidRPr="002B0A21">
        <w:rPr>
          <w:rFonts w:eastAsiaTheme="minorEastAsia" w:cstheme="minorHAnsi"/>
        </w:rPr>
        <w:t xml:space="preserve">The </w:t>
      </w:r>
      <w:r>
        <w:rPr>
          <w:rFonts w:eastAsiaTheme="minorEastAsia" w:cstheme="minorHAnsi"/>
        </w:rPr>
        <w:t>Whistleblowing Officer</w:t>
      </w:r>
      <w:r w:rsidRPr="002B0A21">
        <w:rPr>
          <w:rFonts w:eastAsiaTheme="minorEastAsia" w:cstheme="minorHAnsi"/>
        </w:rPr>
        <w:t xml:space="preserve"> is responsible for the Follow-up of the Reports received via the </w:t>
      </w:r>
      <w:r>
        <w:rPr>
          <w:rFonts w:eastAsiaTheme="minorEastAsia" w:cstheme="minorHAnsi"/>
        </w:rPr>
        <w:t xml:space="preserve">Whistleblowing </w:t>
      </w:r>
      <w:r w:rsidRPr="002B0A21">
        <w:rPr>
          <w:rFonts w:eastAsiaTheme="minorEastAsia" w:cstheme="minorHAnsi"/>
        </w:rPr>
        <w:t>Channel. Non-</w:t>
      </w:r>
      <w:r w:rsidR="00072A2B" w:rsidRPr="002B0A21">
        <w:rPr>
          <w:rFonts w:eastAsiaTheme="minorEastAsia" w:cstheme="minorHAnsi"/>
        </w:rPr>
        <w:t>authorized</w:t>
      </w:r>
      <w:r w:rsidRPr="002B0A21">
        <w:rPr>
          <w:rFonts w:eastAsiaTheme="minorEastAsia" w:cstheme="minorHAnsi"/>
        </w:rPr>
        <w:t xml:space="preserve"> personnel members do not have access to the Reports. </w:t>
      </w:r>
    </w:p>
    <w:p w14:paraId="2E881524" w14:textId="77777777" w:rsidR="00402152" w:rsidRPr="002B0A21" w:rsidRDefault="00402152" w:rsidP="00402152">
      <w:pPr>
        <w:spacing w:after="0"/>
        <w:ind w:left="0"/>
        <w:rPr>
          <w:rFonts w:eastAsiaTheme="minorEastAsia" w:cstheme="minorHAnsi"/>
        </w:rPr>
      </w:pPr>
    </w:p>
    <w:p w14:paraId="359FD6A1" w14:textId="77777777" w:rsidR="00402152" w:rsidRPr="002B0A21" w:rsidRDefault="00402152" w:rsidP="00402152">
      <w:pPr>
        <w:spacing w:after="0"/>
        <w:ind w:left="0"/>
        <w:rPr>
          <w:rFonts w:eastAsiaTheme="minorEastAsia" w:cstheme="minorHAnsi"/>
        </w:rPr>
      </w:pPr>
      <w:r w:rsidRPr="002B0A21">
        <w:rPr>
          <w:rFonts w:eastAsiaTheme="minorEastAsia" w:cstheme="minorHAnsi"/>
        </w:rPr>
        <w:t xml:space="preserve">The </w:t>
      </w:r>
      <w:r>
        <w:rPr>
          <w:rFonts w:eastAsiaTheme="minorEastAsia" w:cstheme="minorHAnsi"/>
        </w:rPr>
        <w:t xml:space="preserve">Whistleblowing Officer </w:t>
      </w:r>
      <w:r w:rsidRPr="002B0A21">
        <w:rPr>
          <w:rFonts w:eastAsiaTheme="minorEastAsia" w:cstheme="minorHAnsi"/>
        </w:rPr>
        <w:t>will:</w:t>
      </w:r>
    </w:p>
    <w:p w14:paraId="4FF99C14" w14:textId="77777777" w:rsidR="00402152" w:rsidRPr="002B0A21" w:rsidRDefault="00402152" w:rsidP="00402152">
      <w:pPr>
        <w:spacing w:after="0"/>
        <w:ind w:left="0"/>
        <w:rPr>
          <w:rFonts w:eastAsiaTheme="minorEastAsia" w:cstheme="minorHAnsi"/>
        </w:rPr>
      </w:pPr>
    </w:p>
    <w:p w14:paraId="35E590F2" w14:textId="77777777" w:rsidR="00402152" w:rsidRPr="00F80D6A" w:rsidRDefault="00402152" w:rsidP="00402152">
      <w:pPr>
        <w:pStyle w:val="Lijstalinea"/>
        <w:numPr>
          <w:ilvl w:val="0"/>
          <w:numId w:val="8"/>
        </w:numPr>
        <w:spacing w:after="0"/>
        <w:rPr>
          <w:rFonts w:eastAsiaTheme="minorEastAsia" w:cstheme="minorHAnsi"/>
        </w:rPr>
      </w:pPr>
      <w:r w:rsidRPr="00F80D6A">
        <w:rPr>
          <w:rFonts w:eastAsiaTheme="minorEastAsia" w:cstheme="minorHAnsi"/>
        </w:rPr>
        <w:t xml:space="preserve">send an acknowledgement of receipt to the </w:t>
      </w:r>
      <w:r>
        <w:rPr>
          <w:rFonts w:eastAsiaTheme="minorEastAsia" w:cstheme="minorHAnsi"/>
        </w:rPr>
        <w:t>Whistleblower</w:t>
      </w:r>
      <w:r w:rsidRPr="00F80D6A">
        <w:rPr>
          <w:rFonts w:eastAsiaTheme="minorEastAsia" w:cstheme="minorHAnsi"/>
        </w:rPr>
        <w:t xml:space="preserve"> within seven days of receiving the Report;</w:t>
      </w:r>
    </w:p>
    <w:p w14:paraId="42F65A0C" w14:textId="77777777" w:rsidR="00402152" w:rsidRPr="00F80D6A" w:rsidRDefault="00402152" w:rsidP="00402152">
      <w:pPr>
        <w:pStyle w:val="Lijstalinea"/>
        <w:numPr>
          <w:ilvl w:val="0"/>
          <w:numId w:val="8"/>
        </w:numPr>
        <w:spacing w:after="0"/>
        <w:rPr>
          <w:rFonts w:eastAsiaTheme="minorEastAsia" w:cstheme="minorHAnsi"/>
        </w:rPr>
      </w:pPr>
      <w:r w:rsidRPr="00F80D6A">
        <w:rPr>
          <w:rFonts w:eastAsiaTheme="minorEastAsia" w:cstheme="minorHAnsi"/>
        </w:rPr>
        <w:t xml:space="preserve">maintain communication with the </w:t>
      </w:r>
      <w:r>
        <w:rPr>
          <w:rFonts w:eastAsiaTheme="minorEastAsia" w:cstheme="minorHAnsi"/>
        </w:rPr>
        <w:t xml:space="preserve">Whistleblower </w:t>
      </w:r>
      <w:r w:rsidRPr="00F80D6A">
        <w:rPr>
          <w:rFonts w:eastAsiaTheme="minorEastAsia" w:cstheme="minorHAnsi"/>
        </w:rPr>
        <w:t xml:space="preserve">and, if necessary, request further information from him/her; </w:t>
      </w:r>
    </w:p>
    <w:p w14:paraId="7FE958CB" w14:textId="77777777" w:rsidR="00402152" w:rsidRPr="00F80D6A" w:rsidRDefault="00402152" w:rsidP="00402152">
      <w:pPr>
        <w:pStyle w:val="Lijstalinea"/>
        <w:numPr>
          <w:ilvl w:val="0"/>
          <w:numId w:val="8"/>
        </w:numPr>
        <w:spacing w:after="0"/>
        <w:rPr>
          <w:rFonts w:eastAsiaTheme="minorEastAsia" w:cstheme="minorHAnsi"/>
        </w:rPr>
      </w:pPr>
      <w:r w:rsidRPr="00F80D6A">
        <w:rPr>
          <w:rFonts w:eastAsiaTheme="minorEastAsia" w:cstheme="minorHAnsi"/>
        </w:rPr>
        <w:t>ensure diligent Follow-up of the Report, including having the necessary investigations carried out;</w:t>
      </w:r>
    </w:p>
    <w:p w14:paraId="36006D2A" w14:textId="77777777" w:rsidR="00402152" w:rsidRPr="00F80D6A" w:rsidRDefault="00402152" w:rsidP="00402152">
      <w:pPr>
        <w:pStyle w:val="Lijstalinea"/>
        <w:numPr>
          <w:ilvl w:val="0"/>
          <w:numId w:val="8"/>
        </w:numPr>
        <w:spacing w:after="0"/>
        <w:rPr>
          <w:rFonts w:eastAsiaTheme="minorEastAsia" w:cstheme="minorHAnsi"/>
        </w:rPr>
      </w:pPr>
      <w:r w:rsidRPr="00F80D6A">
        <w:rPr>
          <w:rFonts w:eastAsiaTheme="minorEastAsia" w:cstheme="minorHAnsi"/>
        </w:rPr>
        <w:t xml:space="preserve">provide feedback to the </w:t>
      </w:r>
      <w:r>
        <w:rPr>
          <w:rFonts w:eastAsiaTheme="minorEastAsia" w:cstheme="minorHAnsi"/>
        </w:rPr>
        <w:t xml:space="preserve">Whistleblower </w:t>
      </w:r>
      <w:r w:rsidRPr="00F80D6A">
        <w:rPr>
          <w:rFonts w:eastAsiaTheme="minorEastAsia" w:cstheme="minorHAnsi"/>
        </w:rPr>
        <w:t xml:space="preserve">within a reasonable period, i.e. not exceeding three months from the acknowledgement of receipt (or, if no acknowledgement of receipt was sent to the </w:t>
      </w:r>
      <w:r>
        <w:rPr>
          <w:rFonts w:eastAsiaTheme="minorEastAsia" w:cstheme="minorHAnsi"/>
        </w:rPr>
        <w:t>Whistleblower</w:t>
      </w:r>
      <w:r w:rsidRPr="00F80D6A">
        <w:rPr>
          <w:rFonts w:eastAsiaTheme="minorEastAsia" w:cstheme="minorHAnsi"/>
        </w:rPr>
        <w:t xml:space="preserve">, three months after the expiry of the seven-day period following the Report). </w:t>
      </w:r>
    </w:p>
    <w:p w14:paraId="4968C331" w14:textId="77777777" w:rsidR="00402152" w:rsidRPr="002B0A21" w:rsidRDefault="00402152" w:rsidP="00402152">
      <w:pPr>
        <w:spacing w:after="0"/>
        <w:ind w:left="0"/>
        <w:rPr>
          <w:rFonts w:eastAsiaTheme="minorEastAsia" w:cstheme="minorHAnsi"/>
        </w:rPr>
      </w:pPr>
    </w:p>
    <w:p w14:paraId="53150DF5" w14:textId="77777777" w:rsidR="00402152" w:rsidRDefault="00402152" w:rsidP="00402152">
      <w:pPr>
        <w:spacing w:after="0"/>
        <w:ind w:left="0"/>
        <w:rPr>
          <w:rFonts w:eastAsiaTheme="minorEastAsia" w:cstheme="minorHAnsi"/>
        </w:rPr>
      </w:pPr>
      <w:r w:rsidRPr="002B0A21">
        <w:rPr>
          <w:rFonts w:eastAsiaTheme="minorEastAsia" w:cstheme="minorHAnsi"/>
        </w:rPr>
        <w:t xml:space="preserve">To ensure communication and support during the investigation, the </w:t>
      </w:r>
      <w:r>
        <w:rPr>
          <w:rFonts w:eastAsiaTheme="minorEastAsia" w:cstheme="minorHAnsi"/>
        </w:rPr>
        <w:t xml:space="preserve">Whistleblower </w:t>
      </w:r>
      <w:r w:rsidRPr="002B0A21">
        <w:rPr>
          <w:rFonts w:eastAsiaTheme="minorEastAsia" w:cstheme="minorHAnsi"/>
        </w:rPr>
        <w:t xml:space="preserve">should regularly check whether any questions/information are pending from the </w:t>
      </w:r>
      <w:r>
        <w:rPr>
          <w:rFonts w:eastAsiaTheme="minorEastAsia" w:cstheme="minorHAnsi"/>
        </w:rPr>
        <w:t>Whistleblowing Officer</w:t>
      </w:r>
      <w:r w:rsidRPr="002B0A21">
        <w:rPr>
          <w:rFonts w:eastAsiaTheme="minorEastAsia" w:cstheme="minorHAnsi"/>
        </w:rPr>
        <w:t xml:space="preserve">. </w:t>
      </w:r>
    </w:p>
    <w:p w14:paraId="549CC7E0" w14:textId="77777777" w:rsidR="00402152" w:rsidRPr="002B0A21" w:rsidRDefault="00402152" w:rsidP="00402152">
      <w:pPr>
        <w:spacing w:after="0"/>
        <w:ind w:left="0"/>
        <w:rPr>
          <w:rFonts w:eastAsiaTheme="minorEastAsia" w:cstheme="minorHAnsi"/>
        </w:rPr>
      </w:pPr>
    </w:p>
    <w:p w14:paraId="1DACC534" w14:textId="77777777" w:rsidR="00402152" w:rsidRDefault="00402152" w:rsidP="00402152">
      <w:pPr>
        <w:spacing w:after="0"/>
        <w:ind w:left="0"/>
        <w:rPr>
          <w:rFonts w:eastAsiaTheme="minorEastAsia" w:cstheme="minorHAnsi"/>
        </w:rPr>
      </w:pPr>
      <w:r w:rsidRPr="002B0A21">
        <w:rPr>
          <w:rFonts w:eastAsiaTheme="minorEastAsia" w:cstheme="minorHAnsi"/>
        </w:rPr>
        <w:t xml:space="preserve">The </w:t>
      </w:r>
      <w:r>
        <w:rPr>
          <w:rFonts w:eastAsiaTheme="minorEastAsia" w:cstheme="minorHAnsi"/>
        </w:rPr>
        <w:t>Whistleblowing officer</w:t>
      </w:r>
      <w:r w:rsidRPr="002B0A21">
        <w:rPr>
          <w:rFonts w:eastAsiaTheme="minorEastAsia" w:cstheme="minorHAnsi"/>
        </w:rPr>
        <w:t xml:space="preserve"> shall ensure diligent Follow-up in accordance this </w:t>
      </w:r>
      <w:r>
        <w:rPr>
          <w:rFonts w:eastAsiaTheme="minorEastAsia" w:cstheme="minorHAnsi"/>
        </w:rPr>
        <w:t>p</w:t>
      </w:r>
      <w:r w:rsidRPr="002B0A21">
        <w:rPr>
          <w:rFonts w:eastAsiaTheme="minorEastAsia" w:cstheme="minorHAnsi"/>
        </w:rPr>
        <w:t xml:space="preserve">olicy. </w:t>
      </w:r>
    </w:p>
    <w:p w14:paraId="081613CA" w14:textId="77777777" w:rsidR="00402152" w:rsidRDefault="00402152" w:rsidP="00402152">
      <w:pPr>
        <w:spacing w:after="0"/>
        <w:ind w:left="0"/>
        <w:rPr>
          <w:rFonts w:eastAsiaTheme="minorEastAsia" w:cstheme="minorHAnsi"/>
        </w:rPr>
      </w:pPr>
    </w:p>
    <w:p w14:paraId="5201F330" w14:textId="77777777" w:rsidR="00402152" w:rsidRPr="002B0A21" w:rsidRDefault="00402152" w:rsidP="00402152">
      <w:pPr>
        <w:spacing w:after="0"/>
        <w:ind w:left="0"/>
        <w:rPr>
          <w:rFonts w:eastAsiaTheme="minorEastAsia" w:cstheme="minorHAnsi"/>
        </w:rPr>
      </w:pPr>
      <w:r w:rsidRPr="002B0A21">
        <w:rPr>
          <w:rFonts w:eastAsiaTheme="minorEastAsia" w:cstheme="minorHAnsi"/>
        </w:rPr>
        <w:t xml:space="preserve">The </w:t>
      </w:r>
      <w:r>
        <w:rPr>
          <w:rFonts w:eastAsiaTheme="minorEastAsia" w:cstheme="minorHAnsi"/>
        </w:rPr>
        <w:t>Whistleblowing officer</w:t>
      </w:r>
      <w:r w:rsidRPr="002B0A21">
        <w:rPr>
          <w:rFonts w:eastAsiaTheme="minorEastAsia" w:cstheme="minorHAnsi"/>
        </w:rPr>
        <w:t xml:space="preserve"> will check the accuracy of the Report and provide timely feedback to the </w:t>
      </w:r>
      <w:r>
        <w:rPr>
          <w:rFonts w:eastAsiaTheme="minorEastAsia" w:cstheme="minorHAnsi"/>
        </w:rPr>
        <w:t>Whistleblower.</w:t>
      </w:r>
      <w:r w:rsidRPr="002B0A21">
        <w:rPr>
          <w:rFonts w:eastAsiaTheme="minorEastAsia" w:cstheme="minorHAnsi"/>
        </w:rPr>
        <w:t xml:space="preserve"> Via communication between the </w:t>
      </w:r>
      <w:r>
        <w:rPr>
          <w:rFonts w:eastAsiaTheme="minorEastAsia" w:cstheme="minorHAnsi"/>
        </w:rPr>
        <w:t>Whistleblower</w:t>
      </w:r>
      <w:r w:rsidRPr="002B0A21">
        <w:rPr>
          <w:rFonts w:eastAsiaTheme="minorEastAsia" w:cstheme="minorHAnsi"/>
        </w:rPr>
        <w:t xml:space="preserve"> and the </w:t>
      </w:r>
      <w:r>
        <w:rPr>
          <w:rFonts w:eastAsiaTheme="minorEastAsia" w:cstheme="minorHAnsi"/>
        </w:rPr>
        <w:t>Whistleblowing officer</w:t>
      </w:r>
      <w:r w:rsidRPr="002B0A21">
        <w:rPr>
          <w:rFonts w:eastAsiaTheme="minorEastAsia" w:cstheme="minorHAnsi"/>
        </w:rPr>
        <w:t xml:space="preserve">, more information on the allegations made in the Report may be gathered to make the Report more concrete. If necessary, the </w:t>
      </w:r>
      <w:r>
        <w:rPr>
          <w:rFonts w:eastAsiaTheme="minorEastAsia" w:cstheme="minorHAnsi"/>
        </w:rPr>
        <w:t>Whistleblowing officer</w:t>
      </w:r>
      <w:r w:rsidRPr="002B0A21">
        <w:rPr>
          <w:rFonts w:eastAsiaTheme="minorEastAsia" w:cstheme="minorHAnsi"/>
        </w:rPr>
        <w:t xml:space="preserve"> will immediately anonymize the personal data in the Report.</w:t>
      </w:r>
    </w:p>
    <w:p w14:paraId="2FDB6B3B" w14:textId="77777777" w:rsidR="00402152" w:rsidRPr="002B0A21" w:rsidRDefault="00402152" w:rsidP="00402152">
      <w:pPr>
        <w:spacing w:after="0"/>
        <w:ind w:left="0"/>
        <w:rPr>
          <w:rFonts w:eastAsiaTheme="minorEastAsia" w:cstheme="minorHAnsi"/>
        </w:rPr>
      </w:pPr>
    </w:p>
    <w:p w14:paraId="0FAD7467" w14:textId="77777777" w:rsidR="00402152" w:rsidRPr="002B0A21" w:rsidRDefault="00402152" w:rsidP="00402152">
      <w:pPr>
        <w:spacing w:after="0"/>
        <w:ind w:left="0"/>
        <w:rPr>
          <w:rFonts w:eastAsiaTheme="minorEastAsia" w:cstheme="minorHAnsi"/>
        </w:rPr>
      </w:pPr>
      <w:r w:rsidRPr="002B0A21">
        <w:rPr>
          <w:rFonts w:eastAsiaTheme="minorEastAsia" w:cstheme="minorHAnsi"/>
        </w:rPr>
        <w:t xml:space="preserve">The </w:t>
      </w:r>
      <w:r>
        <w:rPr>
          <w:rFonts w:eastAsiaTheme="minorEastAsia" w:cstheme="minorHAnsi"/>
        </w:rPr>
        <w:t>Whistleblowing officer</w:t>
      </w:r>
      <w:r w:rsidRPr="002B0A21">
        <w:rPr>
          <w:rFonts w:eastAsiaTheme="minorEastAsia" w:cstheme="minorHAnsi"/>
        </w:rPr>
        <w:t xml:space="preserve"> will decide to investigate provided there is sufficient suspicion. The </w:t>
      </w:r>
      <w:r>
        <w:rPr>
          <w:rFonts w:eastAsiaTheme="minorEastAsia" w:cstheme="minorHAnsi"/>
        </w:rPr>
        <w:t>Whistleblowing officer</w:t>
      </w:r>
      <w:r w:rsidRPr="002B0A21">
        <w:rPr>
          <w:rFonts w:eastAsiaTheme="minorEastAsia" w:cstheme="minorHAnsi"/>
        </w:rPr>
        <w:t xml:space="preserve"> will decide who is best suited to investigate the Report. By submitting a Report through the </w:t>
      </w:r>
      <w:r>
        <w:rPr>
          <w:rFonts w:eastAsiaTheme="minorEastAsia" w:cstheme="minorHAnsi"/>
        </w:rPr>
        <w:t xml:space="preserve">Whistleblowing </w:t>
      </w:r>
      <w:r w:rsidRPr="002B0A21">
        <w:rPr>
          <w:rFonts w:eastAsiaTheme="minorEastAsia" w:cstheme="minorHAnsi"/>
        </w:rPr>
        <w:t xml:space="preserve">Channel, the </w:t>
      </w:r>
      <w:r>
        <w:rPr>
          <w:rFonts w:eastAsiaTheme="minorEastAsia" w:cstheme="minorHAnsi"/>
        </w:rPr>
        <w:t>Whistleblower</w:t>
      </w:r>
      <w:r w:rsidRPr="002B0A21">
        <w:rPr>
          <w:rFonts w:eastAsiaTheme="minorEastAsia" w:cstheme="minorHAnsi"/>
        </w:rPr>
        <w:t xml:space="preserve"> agrees that the </w:t>
      </w:r>
      <w:r>
        <w:rPr>
          <w:rFonts w:eastAsiaTheme="minorEastAsia" w:cstheme="minorHAnsi"/>
        </w:rPr>
        <w:t>Whistleblowing officer</w:t>
      </w:r>
      <w:r w:rsidRPr="002B0A21">
        <w:rPr>
          <w:rFonts w:eastAsiaTheme="minorEastAsia" w:cstheme="minorHAnsi"/>
        </w:rPr>
        <w:t xml:space="preserve"> will order the most appropriate person to investigate. </w:t>
      </w:r>
    </w:p>
    <w:p w14:paraId="0C574F37" w14:textId="77777777" w:rsidR="00402152" w:rsidRPr="002B0A21" w:rsidRDefault="00402152" w:rsidP="00402152">
      <w:pPr>
        <w:spacing w:after="0"/>
        <w:ind w:left="0"/>
        <w:rPr>
          <w:rFonts w:eastAsiaTheme="minorEastAsia" w:cstheme="minorHAnsi"/>
        </w:rPr>
      </w:pPr>
    </w:p>
    <w:p w14:paraId="0C86A283" w14:textId="77777777" w:rsidR="00402152" w:rsidRDefault="00402152" w:rsidP="00402152">
      <w:pPr>
        <w:spacing w:after="0"/>
        <w:ind w:left="0"/>
        <w:rPr>
          <w:rFonts w:eastAsiaTheme="minorEastAsia" w:cstheme="minorHAnsi"/>
        </w:rPr>
      </w:pPr>
      <w:r w:rsidRPr="002B0A21">
        <w:rPr>
          <w:rFonts w:eastAsiaTheme="minorEastAsia" w:cstheme="minorHAnsi"/>
        </w:rPr>
        <w:t>As few people as possible will be involved in the conduct of the investigation. All investigations are conducted with the utmost confidentiality and in compliance with data protection. Anyone cooperating in the investigation is bound to absolute confidentiality.</w:t>
      </w:r>
    </w:p>
    <w:p w14:paraId="7B459CFD" w14:textId="77777777" w:rsidR="00402152" w:rsidRDefault="00402152" w:rsidP="00386349">
      <w:pPr>
        <w:spacing w:after="0"/>
        <w:ind w:left="0"/>
        <w:rPr>
          <w:rFonts w:eastAsiaTheme="minorEastAsia" w:cstheme="minorHAnsi"/>
        </w:rPr>
      </w:pPr>
    </w:p>
    <w:p w14:paraId="1EE0141C" w14:textId="77777777" w:rsidR="00402152" w:rsidRPr="00386349" w:rsidRDefault="00402152" w:rsidP="00386349">
      <w:pPr>
        <w:spacing w:after="0"/>
        <w:ind w:left="0"/>
        <w:rPr>
          <w:rFonts w:eastAsiaTheme="minorEastAsia" w:cstheme="minorHAnsi"/>
        </w:rPr>
      </w:pPr>
    </w:p>
    <w:p w14:paraId="2E1F7834"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Impartial and independent investigation</w:t>
      </w:r>
    </w:p>
    <w:p w14:paraId="08532A73" w14:textId="77777777" w:rsidR="00386349" w:rsidRPr="00386349" w:rsidRDefault="00386349" w:rsidP="00386349">
      <w:pPr>
        <w:spacing w:after="0"/>
        <w:ind w:left="0"/>
        <w:rPr>
          <w:rFonts w:eastAsiaTheme="minorEastAsia" w:cstheme="minorHAnsi"/>
        </w:rPr>
      </w:pPr>
    </w:p>
    <w:p w14:paraId="79904328" w14:textId="56B13628" w:rsidR="00386349" w:rsidRPr="00386349" w:rsidRDefault="00386349" w:rsidP="00386349">
      <w:pPr>
        <w:spacing w:after="0"/>
        <w:ind w:left="0"/>
        <w:rPr>
          <w:rFonts w:eastAsiaTheme="minorEastAsia" w:cstheme="minorHAnsi"/>
        </w:rPr>
      </w:pPr>
      <w:r w:rsidRPr="00386349">
        <w:rPr>
          <w:rFonts w:eastAsiaTheme="minorEastAsia" w:cstheme="minorHAnsi"/>
        </w:rPr>
        <w:t xml:space="preserve">The investigation of the case will be conducted by an independent person (internal or external to </w:t>
      </w:r>
      <w:r w:rsidR="006C51D2">
        <w:rPr>
          <w:rFonts w:eastAsiaTheme="minorEastAsia" w:cstheme="minorHAnsi"/>
        </w:rPr>
        <w:t>AWDC</w:t>
      </w:r>
      <w:r w:rsidRPr="00386349">
        <w:rPr>
          <w:rFonts w:eastAsiaTheme="minorEastAsia" w:cstheme="minorHAnsi"/>
        </w:rPr>
        <w:t xml:space="preserve">) in a diligent way. If an investigation is carried out by an internal </w:t>
      </w:r>
      <w:r w:rsidR="006C51D2">
        <w:rPr>
          <w:rFonts w:eastAsiaTheme="minorEastAsia" w:cstheme="minorHAnsi"/>
        </w:rPr>
        <w:t>AWDC</w:t>
      </w:r>
      <w:r w:rsidRPr="00386349">
        <w:rPr>
          <w:rFonts w:eastAsiaTheme="minorEastAsia" w:cstheme="minorHAnsi"/>
        </w:rPr>
        <w:t xml:space="preserve"> representative, he or she will inform the Whistleblowing officer in time in order for the latter to meet the prescribed deadlines of providing feed</w:t>
      </w:r>
      <w:r w:rsidR="00402152">
        <w:rPr>
          <w:rFonts w:eastAsiaTheme="minorEastAsia" w:cstheme="minorHAnsi"/>
        </w:rPr>
        <w:t>back</w:t>
      </w:r>
      <w:r w:rsidRPr="00386349">
        <w:rPr>
          <w:rFonts w:eastAsiaTheme="minorEastAsia" w:cstheme="minorHAnsi"/>
        </w:rPr>
        <w:t xml:space="preserve"> to the whistleblower. </w:t>
      </w:r>
    </w:p>
    <w:p w14:paraId="2E6D5D61" w14:textId="77777777" w:rsidR="00386349" w:rsidRPr="00386349" w:rsidRDefault="00386349" w:rsidP="00386349">
      <w:pPr>
        <w:spacing w:after="0"/>
        <w:ind w:left="0"/>
        <w:rPr>
          <w:rFonts w:eastAsiaTheme="minorEastAsia" w:cstheme="minorHAnsi"/>
        </w:rPr>
      </w:pPr>
    </w:p>
    <w:p w14:paraId="34A411DA" w14:textId="6D3C80BE" w:rsidR="00386349" w:rsidRPr="00386349" w:rsidRDefault="006C51D2" w:rsidP="00386349">
      <w:pPr>
        <w:spacing w:after="0"/>
        <w:ind w:left="0"/>
        <w:rPr>
          <w:rFonts w:eastAsiaTheme="minorEastAsia" w:cstheme="minorHAnsi"/>
        </w:rPr>
      </w:pPr>
      <w:r>
        <w:rPr>
          <w:rFonts w:eastAsiaTheme="minorEastAsia" w:cstheme="minorHAnsi"/>
        </w:rPr>
        <w:t>AWDC</w:t>
      </w:r>
      <w:r w:rsidR="00386349" w:rsidRPr="00386349">
        <w:rPr>
          <w:rFonts w:eastAsiaTheme="minorEastAsia" w:cstheme="minorHAnsi"/>
        </w:rPr>
        <w:t xml:space="preserve"> will guarantee free and unrestricted access necessary for the investigation. All information received during the investigation will be treated with strict confidentiality. </w:t>
      </w:r>
    </w:p>
    <w:p w14:paraId="6E3B5E37" w14:textId="77777777" w:rsidR="00402152" w:rsidRDefault="00402152" w:rsidP="00386349">
      <w:pPr>
        <w:spacing w:after="0"/>
        <w:ind w:left="0"/>
        <w:rPr>
          <w:rFonts w:eastAsiaTheme="minorEastAsia" w:cstheme="minorHAnsi"/>
        </w:rPr>
      </w:pPr>
    </w:p>
    <w:p w14:paraId="154DBA34" w14:textId="67777E76" w:rsidR="00386349" w:rsidRDefault="00386349" w:rsidP="00386349">
      <w:pPr>
        <w:spacing w:after="0"/>
        <w:ind w:left="0"/>
        <w:rPr>
          <w:rFonts w:eastAsiaTheme="minorEastAsia" w:cstheme="minorHAnsi"/>
        </w:rPr>
      </w:pPr>
      <w:r w:rsidRPr="00386349">
        <w:rPr>
          <w:rFonts w:eastAsiaTheme="minorEastAsia" w:cstheme="minorHAnsi"/>
        </w:rPr>
        <w:t xml:space="preserve">The fact finding will be performed by professionals in an objective and respectful way. The results of the investigation </w:t>
      </w:r>
      <w:r w:rsidR="003906BC">
        <w:rPr>
          <w:rFonts w:eastAsiaTheme="minorEastAsia" w:cstheme="minorHAnsi"/>
        </w:rPr>
        <w:t>may</w:t>
      </w:r>
      <w:r w:rsidR="003906BC" w:rsidRPr="00386349">
        <w:rPr>
          <w:rFonts w:eastAsiaTheme="minorEastAsia" w:cstheme="minorHAnsi"/>
        </w:rPr>
        <w:t xml:space="preserve"> </w:t>
      </w:r>
      <w:r w:rsidRPr="00386349">
        <w:rPr>
          <w:rFonts w:eastAsiaTheme="minorEastAsia" w:cstheme="minorHAnsi"/>
        </w:rPr>
        <w:t xml:space="preserve">be shared with the ManCom. The results of the investigation will protect the identity of the whistleblower unless he/she explicitly </w:t>
      </w:r>
      <w:r w:rsidR="00322D1A">
        <w:rPr>
          <w:rFonts w:eastAsiaTheme="minorEastAsia" w:cstheme="minorHAnsi"/>
        </w:rPr>
        <w:t>agrees</w:t>
      </w:r>
      <w:r w:rsidR="00322D1A" w:rsidRPr="00386349">
        <w:rPr>
          <w:rFonts w:eastAsiaTheme="minorEastAsia" w:cstheme="minorHAnsi"/>
        </w:rPr>
        <w:t xml:space="preserve"> </w:t>
      </w:r>
      <w:r w:rsidRPr="00386349">
        <w:rPr>
          <w:rFonts w:eastAsiaTheme="minorEastAsia" w:cstheme="minorHAnsi"/>
        </w:rPr>
        <w:t>to be named in the investigation report.</w:t>
      </w:r>
    </w:p>
    <w:p w14:paraId="47E56102" w14:textId="77777777" w:rsidR="009D6597" w:rsidRDefault="009D6597" w:rsidP="00386349">
      <w:pPr>
        <w:spacing w:after="0"/>
        <w:ind w:left="0"/>
        <w:rPr>
          <w:rFonts w:eastAsiaTheme="minorEastAsia" w:cstheme="minorHAnsi"/>
        </w:rPr>
      </w:pPr>
    </w:p>
    <w:p w14:paraId="5F085C65" w14:textId="77777777" w:rsidR="000817D9" w:rsidRDefault="000817D9" w:rsidP="00386349">
      <w:pPr>
        <w:spacing w:after="0"/>
        <w:ind w:left="0"/>
        <w:rPr>
          <w:rFonts w:eastAsiaTheme="minorEastAsia" w:cstheme="minorHAnsi"/>
        </w:rPr>
      </w:pPr>
    </w:p>
    <w:p w14:paraId="0D92B9C1" w14:textId="3E4BB421" w:rsidR="009D6597" w:rsidRPr="009D6597" w:rsidRDefault="009D6597" w:rsidP="00A66247">
      <w:pPr>
        <w:pStyle w:val="Lijstalinea"/>
        <w:numPr>
          <w:ilvl w:val="0"/>
          <w:numId w:val="5"/>
        </w:numPr>
        <w:spacing w:after="0"/>
        <w:rPr>
          <w:rFonts w:eastAsiaTheme="minorEastAsia" w:cstheme="minorHAnsi"/>
          <w:b/>
          <w:bCs/>
          <w:i/>
          <w:iCs/>
          <w:sz w:val="24"/>
          <w:szCs w:val="24"/>
        </w:rPr>
      </w:pPr>
      <w:r w:rsidRPr="009D6597">
        <w:rPr>
          <w:rFonts w:eastAsiaTheme="minorEastAsia" w:cstheme="minorHAnsi"/>
          <w:b/>
          <w:bCs/>
          <w:i/>
          <w:iCs/>
          <w:sz w:val="24"/>
          <w:szCs w:val="24"/>
        </w:rPr>
        <w:t>External reporting</w:t>
      </w:r>
    </w:p>
    <w:p w14:paraId="61ED26D8" w14:textId="77777777" w:rsidR="00386349" w:rsidRPr="00386349" w:rsidRDefault="00386349" w:rsidP="00386349">
      <w:pPr>
        <w:spacing w:after="0"/>
        <w:ind w:left="0"/>
        <w:rPr>
          <w:rFonts w:eastAsiaTheme="minorEastAsia" w:cstheme="minorHAnsi"/>
        </w:rPr>
      </w:pPr>
    </w:p>
    <w:p w14:paraId="61F81105"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External reporting channel</w:t>
      </w:r>
    </w:p>
    <w:p w14:paraId="04B1E3E2" w14:textId="77777777" w:rsidR="00386349" w:rsidRPr="00386349" w:rsidRDefault="00386349" w:rsidP="00386349">
      <w:pPr>
        <w:spacing w:after="0"/>
        <w:ind w:left="0"/>
        <w:rPr>
          <w:rFonts w:eastAsiaTheme="minorEastAsia" w:cstheme="minorHAnsi"/>
        </w:rPr>
      </w:pPr>
    </w:p>
    <w:p w14:paraId="377FFA44" w14:textId="0EF20545" w:rsidR="00386349" w:rsidRPr="00386349" w:rsidRDefault="00386349" w:rsidP="00386349">
      <w:pPr>
        <w:spacing w:after="0"/>
        <w:ind w:left="0"/>
        <w:rPr>
          <w:rFonts w:eastAsiaTheme="minorEastAsia" w:cstheme="minorHAnsi"/>
        </w:rPr>
      </w:pPr>
      <w:r w:rsidRPr="00386349">
        <w:rPr>
          <w:rFonts w:eastAsiaTheme="minorEastAsia" w:cstheme="minorHAnsi"/>
        </w:rPr>
        <w:t xml:space="preserve">The whistleblower also has the possibility to report outside the internal reporting channel of </w:t>
      </w:r>
      <w:r w:rsidR="006C51D2">
        <w:rPr>
          <w:rFonts w:eastAsiaTheme="minorEastAsia" w:cstheme="minorHAnsi"/>
        </w:rPr>
        <w:t>AWDC</w:t>
      </w:r>
      <w:r w:rsidRPr="00386349">
        <w:rPr>
          <w:rFonts w:eastAsiaTheme="minorEastAsia" w:cstheme="minorHAnsi"/>
        </w:rPr>
        <w:t xml:space="preserve">, via the so-called external channel as stated in the </w:t>
      </w:r>
      <w:r w:rsidR="00AC1745">
        <w:rPr>
          <w:rFonts w:eastAsiaTheme="minorEastAsia" w:cstheme="minorHAnsi"/>
        </w:rPr>
        <w:t>Whistleblowing Law</w:t>
      </w:r>
      <w:r w:rsidRPr="00386349">
        <w:rPr>
          <w:rFonts w:eastAsiaTheme="minorEastAsia" w:cstheme="minorHAnsi"/>
        </w:rPr>
        <w:t>.</w:t>
      </w:r>
    </w:p>
    <w:p w14:paraId="43B0E024" w14:textId="77777777" w:rsidR="00386349" w:rsidRPr="00386349" w:rsidRDefault="00386349" w:rsidP="00386349">
      <w:pPr>
        <w:spacing w:after="0"/>
        <w:ind w:left="0"/>
        <w:rPr>
          <w:rFonts w:eastAsiaTheme="minorEastAsia" w:cstheme="minorHAnsi"/>
        </w:rPr>
      </w:pPr>
    </w:p>
    <w:p w14:paraId="69194B16" w14:textId="4884EE74" w:rsidR="00386349" w:rsidRPr="00386349" w:rsidRDefault="00386349" w:rsidP="00386349">
      <w:pPr>
        <w:spacing w:after="0"/>
        <w:ind w:left="0"/>
        <w:rPr>
          <w:rFonts w:eastAsiaTheme="minorEastAsia" w:cstheme="minorHAnsi"/>
        </w:rPr>
      </w:pPr>
      <w:r w:rsidRPr="00386349">
        <w:rPr>
          <w:rFonts w:eastAsiaTheme="minorEastAsia" w:cstheme="minorHAnsi"/>
        </w:rPr>
        <w:t xml:space="preserve">The whistleblower can make an external report to the Federal Coordinator with the Federal Ombudsman. They coordinate the reports and send the reports to the external reporting channels organized by Competent Authorities. The whistleblower can contact them at: </w:t>
      </w:r>
      <w:hyperlink r:id="rId11">
        <w:r w:rsidRPr="00386349">
          <w:rPr>
            <w:rFonts w:eastAsiaTheme="minorEastAsia" w:cstheme="minorHAnsi"/>
            <w:color w:val="0563C1" w:themeColor="hyperlink"/>
            <w:u w:val="single"/>
          </w:rPr>
          <w:t>integriteit@federaalombudsman.be</w:t>
        </w:r>
      </w:hyperlink>
      <w:r w:rsidRPr="00386349">
        <w:rPr>
          <w:rFonts w:eastAsiaTheme="minorEastAsia" w:cstheme="minorHAnsi"/>
        </w:rPr>
        <w:t xml:space="preserve"> or via telephone: 02/290.54.91. </w:t>
      </w:r>
    </w:p>
    <w:p w14:paraId="0A627039" w14:textId="77777777" w:rsidR="00386349" w:rsidRPr="00386349" w:rsidRDefault="00386349" w:rsidP="00386349">
      <w:pPr>
        <w:spacing w:after="0"/>
        <w:ind w:left="0"/>
        <w:rPr>
          <w:rFonts w:eastAsiaTheme="minorEastAsia" w:cstheme="minorHAnsi"/>
        </w:rPr>
      </w:pPr>
    </w:p>
    <w:p w14:paraId="7D77FD64" w14:textId="77777777" w:rsidR="00386349" w:rsidRPr="00386349" w:rsidRDefault="00386349" w:rsidP="00386349">
      <w:pPr>
        <w:spacing w:after="0"/>
        <w:ind w:left="0"/>
        <w:rPr>
          <w:rFonts w:eastAsiaTheme="minorEastAsia" w:cstheme="minorHAnsi"/>
          <w:b/>
        </w:rPr>
      </w:pPr>
      <w:r w:rsidRPr="00386349">
        <w:rPr>
          <w:rFonts w:eastAsiaTheme="minorEastAsia" w:cstheme="minorHAnsi"/>
          <w:b/>
        </w:rPr>
        <w:t xml:space="preserve">External independent guidance and information </w:t>
      </w:r>
    </w:p>
    <w:p w14:paraId="7F40D87D" w14:textId="77777777" w:rsidR="00386349" w:rsidRPr="00386349" w:rsidRDefault="00386349" w:rsidP="00386349">
      <w:pPr>
        <w:shd w:val="clear" w:color="auto" w:fill="FDFDFD"/>
        <w:spacing w:after="0"/>
        <w:ind w:left="0"/>
        <w:rPr>
          <w:rFonts w:eastAsiaTheme="minorEastAsia" w:cstheme="minorHAnsi"/>
          <w:lang w:val="en" w:eastAsia="nl-BE"/>
        </w:rPr>
      </w:pPr>
    </w:p>
    <w:p w14:paraId="75BE3AA7" w14:textId="2EBCB7E6" w:rsidR="00386349" w:rsidRPr="00386349" w:rsidRDefault="00386349" w:rsidP="00386349">
      <w:pPr>
        <w:shd w:val="clear" w:color="auto" w:fill="FDFDFD"/>
        <w:spacing w:after="0"/>
        <w:ind w:left="0"/>
        <w:rPr>
          <w:rFonts w:eastAsiaTheme="minorEastAsia" w:cstheme="minorHAnsi"/>
          <w:lang w:val="en" w:eastAsia="nl-BE"/>
        </w:rPr>
      </w:pPr>
      <w:r w:rsidRPr="00386349">
        <w:rPr>
          <w:rFonts w:eastAsiaTheme="minorEastAsia" w:cstheme="minorHAnsi"/>
          <w:lang w:val="en" w:eastAsia="nl-BE"/>
        </w:rPr>
        <w:t>The Federal Institute for Human Rights (FIRM) has been designated as a central information point for whistleblower regulation in Belgium. A whistleblower can contact the FIRM for general information about the whistleblowing rules in Belgium.  A whistleblower can find extensive information on their website about the Belgian and European rules on whistleblower protection (</w:t>
      </w:r>
      <w:hyperlink r:id="rId12">
        <w:r w:rsidRPr="00386349">
          <w:rPr>
            <w:rFonts w:eastAsiaTheme="minorEastAsia" w:cstheme="minorHAnsi"/>
            <w:color w:val="0563C1" w:themeColor="hyperlink"/>
            <w:u w:val="single"/>
          </w:rPr>
          <w:t>federaalinstituutmensenrechten.be</w:t>
        </w:r>
      </w:hyperlink>
      <w:r w:rsidRPr="00386349">
        <w:rPr>
          <w:rFonts w:eastAsiaTheme="minorEastAsia" w:cstheme="minorHAnsi"/>
        </w:rPr>
        <w:t xml:space="preserve"> )</w:t>
      </w:r>
    </w:p>
    <w:p w14:paraId="1DDD13A1" w14:textId="77777777" w:rsidR="00386349" w:rsidRPr="00386349" w:rsidRDefault="00386349" w:rsidP="00386349">
      <w:pPr>
        <w:shd w:val="clear" w:color="auto" w:fill="FDFDFD"/>
        <w:spacing w:after="0"/>
        <w:ind w:left="0"/>
        <w:rPr>
          <w:rFonts w:eastAsiaTheme="minorEastAsia" w:cstheme="minorHAnsi"/>
          <w:lang w:val="en" w:eastAsia="nl-BE"/>
        </w:rPr>
      </w:pPr>
      <w:r w:rsidRPr="00386349">
        <w:rPr>
          <w:rFonts w:eastAsiaTheme="minorEastAsia" w:cstheme="minorHAnsi"/>
          <w:lang w:val="en" w:eastAsia="nl-BE"/>
        </w:rPr>
        <w:t>For urgent questions a whistleblower can reach them by phone (Dutch: +32 479 88 57 40; French: +32 479 88 57 23) or by mail (</w:t>
      </w:r>
      <w:hyperlink r:id="rId13">
        <w:r w:rsidRPr="00386349">
          <w:rPr>
            <w:rFonts w:eastAsiaTheme="minorEastAsia" w:cstheme="minorHAnsi"/>
            <w:color w:val="0563C1" w:themeColor="hyperlink"/>
            <w:u w:val="single"/>
            <w:lang w:val="en" w:eastAsia="nl-BE"/>
          </w:rPr>
          <w:t>kl-la@firm-ifdh.be</w:t>
        </w:r>
      </w:hyperlink>
      <w:r w:rsidRPr="00386349">
        <w:rPr>
          <w:rFonts w:eastAsiaTheme="minorEastAsia" w:cstheme="minorHAnsi"/>
          <w:lang w:val="en" w:eastAsia="nl-BE"/>
        </w:rPr>
        <w:t>).</w:t>
      </w:r>
    </w:p>
    <w:p w14:paraId="48A69676" w14:textId="2466500B" w:rsidR="00046006" w:rsidRDefault="00046006" w:rsidP="00046006">
      <w:pPr>
        <w:pStyle w:val="paragraph"/>
        <w:ind w:left="0"/>
      </w:pPr>
      <w:r w:rsidRPr="00993DC1">
        <w:rPr>
          <w:vanish/>
        </w:rPr>
        <w:t>Complete policy statement.</w:t>
      </w:r>
      <w:r w:rsidRPr="00993DC1">
        <w:rPr>
          <w:vanish/>
        </w:rPr>
        <w:br/>
        <w:t>If the effective date is different from the issuing date in the headline banner, an appropriate discussion of when the policy applies should be included with the policy statement.</w:t>
      </w:r>
    </w:p>
    <w:p w14:paraId="5722FCA7" w14:textId="4CABEAC3" w:rsidR="00547A7D" w:rsidRDefault="00547A7D">
      <w:pPr>
        <w:spacing w:after="160" w:line="259" w:lineRule="auto"/>
        <w:ind w:left="0"/>
        <w:rPr>
          <w:rFonts w:ascii="Calibri" w:hAnsi="Calibri"/>
          <w:sz w:val="24"/>
          <w:szCs w:val="24"/>
        </w:rPr>
      </w:pPr>
      <w:r>
        <w:br w:type="page"/>
      </w:r>
    </w:p>
    <w:p w14:paraId="7A5A1487" w14:textId="77777777" w:rsidR="00A66247" w:rsidRPr="00993DC1" w:rsidRDefault="00A66247" w:rsidP="00046006">
      <w:pPr>
        <w:pStyle w:val="paragraph"/>
        <w:ind w:left="0"/>
        <w:rPr>
          <w:vanish/>
        </w:rPr>
      </w:pPr>
    </w:p>
    <w:p w14:paraId="6E5DE668" w14:textId="6FB67DA8" w:rsidR="00046006" w:rsidRPr="00993DC1" w:rsidRDefault="00046006" w:rsidP="00046006">
      <w:pPr>
        <w:pStyle w:val="topicnonumbering"/>
      </w:pPr>
      <w:r w:rsidRPr="00993DC1">
        <w:t>Definitions</w:t>
      </w:r>
    </w:p>
    <w:p w14:paraId="2660A95A" w14:textId="31B449DF" w:rsidR="00046006" w:rsidRPr="00EB0C69" w:rsidRDefault="00046006" w:rsidP="00EB0C69">
      <w:pPr>
        <w:numPr>
          <w:ilvl w:val="0"/>
          <w:numId w:val="2"/>
        </w:numPr>
        <w:spacing w:after="0"/>
        <w:contextualSpacing/>
        <w:rPr>
          <w:rFonts w:eastAsiaTheme="minorEastAsia" w:cstheme="minorHAnsi"/>
        </w:rPr>
      </w:pPr>
      <w:r w:rsidRPr="00046006">
        <w:rPr>
          <w:rFonts w:eastAsiaTheme="minorEastAsia" w:cstheme="minorHAnsi"/>
          <w:b/>
        </w:rPr>
        <w:t>Whistleblowing</w:t>
      </w:r>
      <w:r w:rsidRPr="00046006">
        <w:rPr>
          <w:rFonts w:eastAsiaTheme="minorEastAsia" w:cstheme="minorHAnsi"/>
        </w:rPr>
        <w:t xml:space="preserve">: </w:t>
      </w:r>
      <w:r w:rsidR="00EB0C69">
        <w:rPr>
          <w:rFonts w:eastAsiaTheme="minorEastAsia" w:cstheme="minorHAnsi"/>
        </w:rPr>
        <w:t xml:space="preserve">the communication of information on </w:t>
      </w:r>
      <w:r w:rsidRPr="00EB0C69">
        <w:rPr>
          <w:rFonts w:eastAsiaTheme="minorEastAsia" w:cstheme="minorHAnsi"/>
        </w:rPr>
        <w:t>breach</w:t>
      </w:r>
      <w:r w:rsidR="00EB0C69">
        <w:rPr>
          <w:rFonts w:eastAsiaTheme="minorEastAsia" w:cstheme="minorHAnsi"/>
        </w:rPr>
        <w:t>es</w:t>
      </w:r>
      <w:r w:rsidRPr="00EB0C69">
        <w:rPr>
          <w:rFonts w:eastAsiaTheme="minorEastAsia" w:cstheme="minorHAnsi"/>
        </w:rPr>
        <w:t>.</w:t>
      </w:r>
    </w:p>
    <w:p w14:paraId="60B16B60" w14:textId="529055A7" w:rsidR="00687C25" w:rsidRPr="00046006" w:rsidRDefault="00687C25" w:rsidP="00046006">
      <w:pPr>
        <w:numPr>
          <w:ilvl w:val="0"/>
          <w:numId w:val="2"/>
        </w:numPr>
        <w:spacing w:after="0"/>
        <w:contextualSpacing/>
        <w:rPr>
          <w:rFonts w:eastAsiaTheme="minorEastAsia" w:cstheme="minorHAnsi"/>
        </w:rPr>
      </w:pPr>
      <w:r>
        <w:rPr>
          <w:rFonts w:eastAsiaTheme="minorEastAsia" w:cstheme="minorHAnsi"/>
          <w:b/>
        </w:rPr>
        <w:t>Whistleblowing law</w:t>
      </w:r>
      <w:r w:rsidRPr="00A66247">
        <w:rPr>
          <w:rFonts w:eastAsiaTheme="minorEastAsia" w:cstheme="minorHAnsi"/>
        </w:rPr>
        <w:t>:</w:t>
      </w:r>
      <w:r>
        <w:rPr>
          <w:rFonts w:eastAsiaTheme="minorEastAsia" w:cstheme="minorHAnsi"/>
          <w:b/>
          <w:bCs/>
        </w:rPr>
        <w:t xml:space="preserve"> </w:t>
      </w:r>
      <w:r w:rsidRPr="00386349">
        <w:rPr>
          <w:rFonts w:eastAsiaTheme="minorEastAsia" w:cstheme="minorHAnsi"/>
        </w:rPr>
        <w:t>the law of 28 November 2022 on the protection of whistleblowers of breaches of Union or national law established within a legal entity in the private sector</w:t>
      </w:r>
      <w:r>
        <w:rPr>
          <w:rFonts w:eastAsiaTheme="minorEastAsia" w:cstheme="minorHAnsi"/>
        </w:rPr>
        <w:t>.</w:t>
      </w:r>
    </w:p>
    <w:p w14:paraId="654DA282" w14:textId="04AA3E8A" w:rsidR="00046006" w:rsidRPr="00046006" w:rsidRDefault="00177CB2" w:rsidP="00046006">
      <w:pPr>
        <w:numPr>
          <w:ilvl w:val="0"/>
          <w:numId w:val="2"/>
        </w:numPr>
        <w:spacing w:after="0"/>
        <w:contextualSpacing/>
        <w:rPr>
          <w:rFonts w:eastAsiaTheme="minorEastAsia" w:cstheme="minorHAnsi"/>
        </w:rPr>
      </w:pPr>
      <w:r>
        <w:rPr>
          <w:rFonts w:eastAsiaTheme="minorEastAsia" w:cstheme="minorHAnsi"/>
          <w:b/>
        </w:rPr>
        <w:t>Whistleblowers policy</w:t>
      </w:r>
      <w:r w:rsidR="00046006" w:rsidRPr="00046006">
        <w:rPr>
          <w:rFonts w:eastAsiaTheme="minorEastAsia" w:cstheme="minorHAnsi"/>
        </w:rPr>
        <w:t xml:space="preserve">: </w:t>
      </w:r>
      <w:r w:rsidR="00046006" w:rsidRPr="00046006">
        <w:rPr>
          <w:rFonts w:eastAsiaTheme="minorEastAsia" w:cstheme="minorHAnsi"/>
          <w:color w:val="4D5156"/>
          <w:shd w:val="clear" w:color="auto" w:fill="FFFFFF"/>
        </w:rPr>
        <w:t> </w:t>
      </w:r>
      <w:r w:rsidR="00046006" w:rsidRPr="00046006">
        <w:rPr>
          <w:rFonts w:eastAsiaTheme="minorEastAsia" w:cstheme="minorHAnsi"/>
        </w:rPr>
        <w:t xml:space="preserve">a set of principles about the reporting of a breach within </w:t>
      </w:r>
      <w:r w:rsidR="006C51D2">
        <w:rPr>
          <w:rFonts w:eastAsiaTheme="minorEastAsia" w:cstheme="minorHAnsi"/>
        </w:rPr>
        <w:t>AWDC</w:t>
      </w:r>
      <w:r w:rsidR="00046006" w:rsidRPr="00046006">
        <w:rPr>
          <w:rFonts w:eastAsiaTheme="minorEastAsia" w:cstheme="minorHAnsi"/>
        </w:rPr>
        <w:t>.</w:t>
      </w:r>
    </w:p>
    <w:p w14:paraId="6E6033A2" w14:textId="0734D0AC" w:rsidR="00046006" w:rsidRPr="00046006" w:rsidRDefault="00177CB2" w:rsidP="00046006">
      <w:pPr>
        <w:numPr>
          <w:ilvl w:val="0"/>
          <w:numId w:val="2"/>
        </w:numPr>
        <w:spacing w:after="0"/>
        <w:contextualSpacing/>
        <w:rPr>
          <w:rFonts w:eastAsiaTheme="minorEastAsia" w:cstheme="minorHAnsi"/>
        </w:rPr>
      </w:pPr>
      <w:r>
        <w:rPr>
          <w:rFonts w:eastAsiaTheme="minorEastAsia" w:cstheme="minorHAnsi"/>
          <w:b/>
        </w:rPr>
        <w:t>Whistleblowers procedure</w:t>
      </w:r>
      <w:r w:rsidR="00046006" w:rsidRPr="00046006">
        <w:rPr>
          <w:rFonts w:eastAsiaTheme="minorEastAsia" w:cstheme="minorHAnsi"/>
        </w:rPr>
        <w:t xml:space="preserve">: The formalized approach or set of actions that is the accepted way of reporting a breach within </w:t>
      </w:r>
      <w:r w:rsidR="006C51D2">
        <w:rPr>
          <w:rFonts w:eastAsiaTheme="minorEastAsia" w:cstheme="minorHAnsi"/>
        </w:rPr>
        <w:t>AWDC</w:t>
      </w:r>
      <w:r w:rsidR="00046006" w:rsidRPr="00046006">
        <w:rPr>
          <w:rFonts w:eastAsiaTheme="minorEastAsia" w:cstheme="minorHAnsi"/>
        </w:rPr>
        <w:t>.</w:t>
      </w:r>
    </w:p>
    <w:p w14:paraId="7BA9C8F5" w14:textId="77777777" w:rsidR="00046006" w:rsidRPr="00046006" w:rsidRDefault="00046006" w:rsidP="00046006">
      <w:pPr>
        <w:numPr>
          <w:ilvl w:val="0"/>
          <w:numId w:val="2"/>
        </w:numPr>
        <w:spacing w:after="0"/>
        <w:contextualSpacing/>
        <w:rPr>
          <w:rFonts w:eastAsiaTheme="minorEastAsia" w:cstheme="minorHAnsi"/>
        </w:rPr>
      </w:pPr>
      <w:r w:rsidRPr="00046006">
        <w:rPr>
          <w:rFonts w:eastAsiaTheme="minorEastAsia" w:cstheme="minorHAnsi"/>
          <w:b/>
        </w:rPr>
        <w:t>Whistleblower</w:t>
      </w:r>
      <w:r w:rsidRPr="00046006">
        <w:rPr>
          <w:rFonts w:eastAsiaTheme="minorEastAsia" w:cstheme="minorHAnsi"/>
        </w:rPr>
        <w:t>: the employee who reports a breach in accordance with this policy.</w:t>
      </w:r>
    </w:p>
    <w:p w14:paraId="3B8F49A1" w14:textId="0ECD24B9" w:rsidR="00046006" w:rsidRPr="00046006" w:rsidRDefault="00046006" w:rsidP="00046006">
      <w:pPr>
        <w:numPr>
          <w:ilvl w:val="0"/>
          <w:numId w:val="2"/>
        </w:numPr>
        <w:spacing w:after="0"/>
        <w:contextualSpacing/>
        <w:rPr>
          <w:rFonts w:eastAsiaTheme="minorEastAsia" w:cstheme="minorHAnsi"/>
        </w:rPr>
      </w:pPr>
      <w:r w:rsidRPr="00046006">
        <w:rPr>
          <w:rFonts w:eastAsiaTheme="minorEastAsia" w:cstheme="minorHAnsi"/>
          <w:b/>
        </w:rPr>
        <w:t>Whistleblowing Officer</w:t>
      </w:r>
      <w:r w:rsidRPr="00046006">
        <w:rPr>
          <w:rFonts w:eastAsiaTheme="minorEastAsia" w:cstheme="minorHAnsi"/>
        </w:rPr>
        <w:t xml:space="preserve">: a designated independent person </w:t>
      </w:r>
      <w:r w:rsidR="00816BE4">
        <w:rPr>
          <w:rFonts w:eastAsiaTheme="minorEastAsia" w:cstheme="minorHAnsi"/>
        </w:rPr>
        <w:t xml:space="preserve">of AWDC </w:t>
      </w:r>
      <w:r w:rsidRPr="00046006">
        <w:rPr>
          <w:rFonts w:eastAsiaTheme="minorEastAsia" w:cstheme="minorHAnsi"/>
        </w:rPr>
        <w:t>that performs specific tasks (receipt, admissibility of reports and feed</w:t>
      </w:r>
      <w:r w:rsidR="00816BE4">
        <w:rPr>
          <w:rFonts w:eastAsiaTheme="minorEastAsia" w:cstheme="minorHAnsi"/>
        </w:rPr>
        <w:t xml:space="preserve">back </w:t>
      </w:r>
      <w:r w:rsidRPr="00046006">
        <w:rPr>
          <w:rFonts w:eastAsiaTheme="minorEastAsia" w:cstheme="minorHAnsi"/>
        </w:rPr>
        <w:t xml:space="preserve">to the whistleblower) in the </w:t>
      </w:r>
      <w:r w:rsidR="00177CB2">
        <w:rPr>
          <w:rFonts w:eastAsiaTheme="minorEastAsia" w:cstheme="minorHAnsi"/>
        </w:rPr>
        <w:t>whistleblowers procedure</w:t>
      </w:r>
      <w:r w:rsidRPr="00046006">
        <w:rPr>
          <w:rFonts w:eastAsiaTheme="minorEastAsia" w:cstheme="minorHAnsi"/>
        </w:rPr>
        <w:t>.</w:t>
      </w:r>
    </w:p>
    <w:p w14:paraId="505CDFDF" w14:textId="77777777" w:rsidR="00753CCB" w:rsidRDefault="00046006" w:rsidP="00046006">
      <w:pPr>
        <w:numPr>
          <w:ilvl w:val="0"/>
          <w:numId w:val="2"/>
        </w:numPr>
        <w:spacing w:after="0"/>
        <w:contextualSpacing/>
        <w:rPr>
          <w:rFonts w:eastAsiaTheme="minorEastAsia" w:cstheme="minorHAnsi"/>
        </w:rPr>
      </w:pPr>
      <w:r w:rsidRPr="00753CCB">
        <w:rPr>
          <w:rFonts w:eastAsiaTheme="minorEastAsia" w:cstheme="minorHAnsi"/>
          <w:b/>
        </w:rPr>
        <w:t>Employee</w:t>
      </w:r>
      <w:r w:rsidRPr="00753CCB">
        <w:rPr>
          <w:rFonts w:eastAsiaTheme="minorEastAsia" w:cstheme="minorHAnsi"/>
        </w:rPr>
        <w:t xml:space="preserve">: </w:t>
      </w:r>
      <w:r w:rsidR="00753CCB" w:rsidRPr="00753CCB">
        <w:rPr>
          <w:rFonts w:eastAsiaTheme="minorEastAsia" w:cstheme="minorHAnsi"/>
        </w:rPr>
        <w:t>Any person having the status of employee within the meaning of Article 45(1) of the Treaty on the Functioning of the European Union</w:t>
      </w:r>
    </w:p>
    <w:p w14:paraId="75072DD8" w14:textId="79AAEDAA" w:rsidR="00046006" w:rsidRPr="00753CCB" w:rsidRDefault="00C040DC" w:rsidP="00046006">
      <w:pPr>
        <w:numPr>
          <w:ilvl w:val="0"/>
          <w:numId w:val="2"/>
        </w:numPr>
        <w:spacing w:after="0"/>
        <w:contextualSpacing/>
        <w:rPr>
          <w:rFonts w:eastAsiaTheme="minorEastAsia" w:cstheme="minorHAnsi"/>
        </w:rPr>
      </w:pPr>
      <w:r>
        <w:rPr>
          <w:rFonts w:eastAsiaTheme="minorEastAsia" w:cstheme="minorHAnsi"/>
          <w:b/>
        </w:rPr>
        <w:t xml:space="preserve">Whistleblowing </w:t>
      </w:r>
      <w:r w:rsidR="00753CCB">
        <w:rPr>
          <w:rFonts w:eastAsiaTheme="minorEastAsia" w:cstheme="minorHAnsi"/>
          <w:b/>
        </w:rPr>
        <w:t>C</w:t>
      </w:r>
      <w:r w:rsidR="00046006" w:rsidRPr="00753CCB">
        <w:rPr>
          <w:rFonts w:eastAsiaTheme="minorEastAsia" w:cstheme="minorHAnsi"/>
          <w:b/>
        </w:rPr>
        <w:t>hannel</w:t>
      </w:r>
      <w:r w:rsidR="00046006" w:rsidRPr="00753CCB">
        <w:rPr>
          <w:rFonts w:eastAsiaTheme="minorEastAsia" w:cstheme="minorHAnsi"/>
        </w:rPr>
        <w:t xml:space="preserve">: The </w:t>
      </w:r>
      <w:r>
        <w:rPr>
          <w:rFonts w:eastAsiaTheme="minorEastAsia" w:cstheme="minorHAnsi"/>
        </w:rPr>
        <w:t xml:space="preserve">internal reporting channel for </w:t>
      </w:r>
      <w:r w:rsidR="00046006" w:rsidRPr="00753CCB">
        <w:rPr>
          <w:rFonts w:eastAsiaTheme="minorEastAsia" w:cstheme="minorHAnsi"/>
        </w:rPr>
        <w:t xml:space="preserve">communication of information on breaches within </w:t>
      </w:r>
      <w:r w:rsidR="006C51D2">
        <w:rPr>
          <w:rFonts w:eastAsiaTheme="minorEastAsia" w:cstheme="minorHAnsi"/>
        </w:rPr>
        <w:t>AWDC</w:t>
      </w:r>
      <w:r w:rsidR="00816FB6">
        <w:rPr>
          <w:rFonts w:eastAsiaTheme="minorEastAsia" w:cstheme="minorHAnsi"/>
        </w:rPr>
        <w:t xml:space="preserve"> </w:t>
      </w:r>
      <w:r w:rsidR="00046006" w:rsidRPr="00753CCB">
        <w:rPr>
          <w:rFonts w:eastAsiaTheme="minorEastAsia" w:cstheme="minorHAnsi"/>
        </w:rPr>
        <w:t>.</w:t>
      </w:r>
    </w:p>
    <w:p w14:paraId="2F76AF22" w14:textId="4ED33E55" w:rsidR="00046006" w:rsidRPr="00046006" w:rsidRDefault="00046006" w:rsidP="00046006">
      <w:pPr>
        <w:numPr>
          <w:ilvl w:val="0"/>
          <w:numId w:val="2"/>
        </w:numPr>
        <w:spacing w:after="0"/>
        <w:contextualSpacing/>
        <w:rPr>
          <w:rFonts w:eastAsiaTheme="minorEastAsia" w:cstheme="minorHAnsi"/>
        </w:rPr>
      </w:pPr>
      <w:r w:rsidRPr="00046006">
        <w:rPr>
          <w:rFonts w:eastAsiaTheme="minorEastAsia" w:cstheme="minorHAnsi"/>
          <w:b/>
        </w:rPr>
        <w:t>External reporting channel</w:t>
      </w:r>
      <w:r w:rsidRPr="00046006">
        <w:rPr>
          <w:rFonts w:eastAsiaTheme="minorEastAsia" w:cstheme="minorHAnsi"/>
        </w:rPr>
        <w:t>: The channel for communication of information on breaches set up by the national authority designated to receive reports</w:t>
      </w:r>
      <w:r w:rsidR="00555302">
        <w:rPr>
          <w:rFonts w:eastAsiaTheme="minorEastAsia" w:cstheme="minorHAnsi"/>
        </w:rPr>
        <w:t>, as referred to in Section 6 of this policy</w:t>
      </w:r>
      <w:r w:rsidRPr="00046006">
        <w:rPr>
          <w:rFonts w:eastAsiaTheme="minorEastAsia" w:cstheme="minorHAnsi"/>
        </w:rPr>
        <w:t>.</w:t>
      </w:r>
    </w:p>
    <w:p w14:paraId="772978E6" w14:textId="135BD816" w:rsidR="00046006" w:rsidRDefault="00046006" w:rsidP="003E3F99">
      <w:pPr>
        <w:numPr>
          <w:ilvl w:val="0"/>
          <w:numId w:val="2"/>
        </w:numPr>
        <w:spacing w:after="0"/>
        <w:contextualSpacing/>
        <w:rPr>
          <w:rFonts w:eastAsiaTheme="minorEastAsia" w:cstheme="minorHAnsi"/>
        </w:rPr>
      </w:pPr>
      <w:r w:rsidRPr="00046006">
        <w:rPr>
          <w:rFonts w:eastAsiaTheme="minorEastAsia" w:cstheme="minorHAnsi"/>
          <w:b/>
        </w:rPr>
        <w:t>Breach</w:t>
      </w:r>
      <w:r w:rsidRPr="00046006">
        <w:rPr>
          <w:rFonts w:eastAsiaTheme="minorEastAsia" w:cstheme="minorHAnsi"/>
        </w:rPr>
        <w:t xml:space="preserve">: </w:t>
      </w:r>
      <w:r w:rsidR="003E3F99">
        <w:rPr>
          <w:rFonts w:eastAsiaTheme="minorEastAsia" w:cstheme="minorHAnsi"/>
        </w:rPr>
        <w:t xml:space="preserve"> </w:t>
      </w:r>
      <w:r w:rsidR="003E3F99" w:rsidRPr="003E3F99">
        <w:rPr>
          <w:rFonts w:eastAsiaTheme="minorEastAsia" w:cstheme="minorHAnsi"/>
        </w:rPr>
        <w:t>Acts or omissions that (</w:t>
      </w:r>
      <w:proofErr w:type="spellStart"/>
      <w:r w:rsidR="003E3F99" w:rsidRPr="003E3F99">
        <w:rPr>
          <w:rFonts w:eastAsiaTheme="minorEastAsia" w:cstheme="minorHAnsi"/>
        </w:rPr>
        <w:t>i</w:t>
      </w:r>
      <w:proofErr w:type="spellEnd"/>
      <w:r w:rsidR="003E3F99" w:rsidRPr="003E3F99">
        <w:rPr>
          <w:rFonts w:eastAsiaTheme="minorEastAsia" w:cstheme="minorHAnsi"/>
        </w:rPr>
        <w:t>) are unlawful and relate to the policy areas belonging to the material scope of this Policy or (ii) go against the purpose or application of the rules in the policy areas belonging to the material scope of this Policy.</w:t>
      </w:r>
    </w:p>
    <w:p w14:paraId="416EB6D5" w14:textId="70C51B11" w:rsidR="00FF6FD0" w:rsidRPr="00EB0C69" w:rsidRDefault="00FF6FD0" w:rsidP="00EB0C69">
      <w:pPr>
        <w:pStyle w:val="Lijstalinea"/>
        <w:numPr>
          <w:ilvl w:val="0"/>
          <w:numId w:val="2"/>
        </w:numPr>
        <w:rPr>
          <w:rFonts w:eastAsiaTheme="minorEastAsia" w:cstheme="minorHAnsi"/>
        </w:rPr>
      </w:pPr>
      <w:r w:rsidRPr="00FF6FD0">
        <w:rPr>
          <w:rFonts w:eastAsiaTheme="minorEastAsia" w:cstheme="minorHAnsi"/>
          <w:b/>
        </w:rPr>
        <w:t>Information on breaches</w:t>
      </w:r>
      <w:r w:rsidRPr="00FF6FD0">
        <w:rPr>
          <w:rFonts w:eastAsiaTheme="minorEastAsia" w:cstheme="minorHAnsi"/>
        </w:rPr>
        <w:t>:</w:t>
      </w:r>
      <w:r w:rsidR="00C040DC">
        <w:rPr>
          <w:rFonts w:eastAsiaTheme="minorEastAsia" w:cstheme="minorHAnsi"/>
        </w:rPr>
        <w:t xml:space="preserve"> </w:t>
      </w:r>
      <w:r w:rsidRPr="00FF6FD0">
        <w:rPr>
          <w:rFonts w:eastAsiaTheme="minorEastAsia" w:cstheme="minorHAnsi"/>
        </w:rPr>
        <w:t>Information</w:t>
      </w:r>
      <w:r>
        <w:rPr>
          <w:rFonts w:eastAsiaTheme="minorEastAsia" w:cstheme="minorHAnsi"/>
        </w:rPr>
        <w:t xml:space="preserve"> or </w:t>
      </w:r>
      <w:r w:rsidRPr="00FF6FD0">
        <w:rPr>
          <w:rFonts w:eastAsiaTheme="minorEastAsia" w:cstheme="minorHAnsi"/>
        </w:rPr>
        <w:t>reasonable suspicions, about actual or potential Breaches, which have occurred or are very likely to occur, as well as attempts to conceal such Breaches.</w:t>
      </w:r>
    </w:p>
    <w:p w14:paraId="7E7F9A8B" w14:textId="77777777" w:rsidR="00591EF9" w:rsidRDefault="00064BE4" w:rsidP="00591EF9">
      <w:pPr>
        <w:pStyle w:val="Lijstalinea"/>
        <w:numPr>
          <w:ilvl w:val="0"/>
          <w:numId w:val="2"/>
        </w:numPr>
        <w:rPr>
          <w:rFonts w:eastAsiaTheme="minorEastAsia" w:cstheme="minorHAnsi"/>
        </w:rPr>
      </w:pPr>
      <w:r w:rsidRPr="00F22A28">
        <w:rPr>
          <w:rFonts w:eastAsiaTheme="minorEastAsia" w:cstheme="minorHAnsi"/>
          <w:b/>
          <w:bCs/>
        </w:rPr>
        <w:t xml:space="preserve">Follow-up: </w:t>
      </w:r>
      <w:r w:rsidRPr="00064BE4">
        <w:rPr>
          <w:rFonts w:eastAsiaTheme="minorEastAsia" w:cstheme="minorHAnsi"/>
        </w:rPr>
        <w:t xml:space="preserve">Any action taken by </w:t>
      </w:r>
      <w:r>
        <w:rPr>
          <w:rFonts w:eastAsiaTheme="minorEastAsia" w:cstheme="minorHAnsi"/>
        </w:rPr>
        <w:t xml:space="preserve">AWDC </w:t>
      </w:r>
      <w:r w:rsidRPr="00064BE4">
        <w:rPr>
          <w:rFonts w:eastAsiaTheme="minorEastAsia" w:cstheme="minorHAnsi"/>
        </w:rPr>
        <w:t xml:space="preserve">to verify the accuracy of the allegations made in the Report and to address the reported breach if necessary, including through measures such as an internal preliminary investigation, an enquiry, prosecution, recovery of funds or termination of the procedure. </w:t>
      </w:r>
    </w:p>
    <w:p w14:paraId="5A490DCE" w14:textId="00CD23EB" w:rsidR="00591EF9" w:rsidRPr="00591EF9" w:rsidRDefault="00037B32" w:rsidP="00591EF9">
      <w:pPr>
        <w:pStyle w:val="Lijstalinea"/>
        <w:numPr>
          <w:ilvl w:val="0"/>
          <w:numId w:val="2"/>
        </w:numPr>
        <w:rPr>
          <w:rFonts w:eastAsiaTheme="minorEastAsia" w:cstheme="minorHAnsi"/>
        </w:rPr>
      </w:pPr>
      <w:r w:rsidRPr="00591EF9">
        <w:rPr>
          <w:rFonts w:eastAsiaTheme="minorEastAsia" w:cstheme="minorHAnsi"/>
          <w:b/>
          <w:bCs/>
        </w:rPr>
        <w:t>Retaliation:</w:t>
      </w:r>
      <w:r w:rsidR="00591EF9" w:rsidRPr="00591EF9">
        <w:rPr>
          <w:rFonts w:cstheme="minorHAnsi"/>
        </w:rPr>
        <w:t xml:space="preserve"> Any act or omission in response to </w:t>
      </w:r>
      <w:r w:rsidR="00591EF9">
        <w:rPr>
          <w:rFonts w:cstheme="minorHAnsi"/>
        </w:rPr>
        <w:t xml:space="preserve">whistleblowing </w:t>
      </w:r>
      <w:r w:rsidR="00591EF9" w:rsidRPr="00591EF9">
        <w:rPr>
          <w:rFonts w:cstheme="minorHAnsi"/>
        </w:rPr>
        <w:t xml:space="preserve">which causes or may cause unjustified detriment to the </w:t>
      </w:r>
      <w:proofErr w:type="spellStart"/>
      <w:r w:rsidR="00591EF9">
        <w:rPr>
          <w:rFonts w:cstheme="minorHAnsi"/>
        </w:rPr>
        <w:t>whisteblower</w:t>
      </w:r>
      <w:proofErr w:type="spellEnd"/>
      <w:r w:rsidR="00591EF9" w:rsidRPr="00591EF9">
        <w:rPr>
          <w:rFonts w:cstheme="minorHAnsi"/>
        </w:rPr>
        <w:t xml:space="preserve">. </w:t>
      </w:r>
    </w:p>
    <w:p w14:paraId="0D100FAF" w14:textId="082D83AC" w:rsidR="00046006" w:rsidRPr="00046006" w:rsidRDefault="00046006" w:rsidP="00046006">
      <w:pPr>
        <w:numPr>
          <w:ilvl w:val="0"/>
          <w:numId w:val="2"/>
        </w:numPr>
        <w:spacing w:after="0"/>
        <w:contextualSpacing/>
        <w:rPr>
          <w:rFonts w:eastAsiaTheme="minorEastAsia" w:cstheme="minorHAnsi"/>
        </w:rPr>
      </w:pPr>
      <w:r w:rsidRPr="00046006">
        <w:rPr>
          <w:rFonts w:eastAsiaTheme="minorEastAsia" w:cstheme="minorHAnsi"/>
          <w:b/>
        </w:rPr>
        <w:t>Whistleblowing report</w:t>
      </w:r>
      <w:r w:rsidRPr="00046006">
        <w:rPr>
          <w:rFonts w:eastAsiaTheme="minorEastAsia" w:cstheme="minorHAnsi"/>
        </w:rPr>
        <w:t xml:space="preserve">: the communication of information on breaches within </w:t>
      </w:r>
      <w:r w:rsidR="006C51D2">
        <w:rPr>
          <w:rFonts w:eastAsiaTheme="minorEastAsia" w:cstheme="minorHAnsi"/>
        </w:rPr>
        <w:t>AWDC</w:t>
      </w:r>
      <w:r w:rsidRPr="00046006">
        <w:rPr>
          <w:rFonts w:eastAsiaTheme="minorEastAsia" w:cstheme="minorHAnsi"/>
        </w:rPr>
        <w:t xml:space="preserve"> via the </w:t>
      </w:r>
      <w:r w:rsidR="00177CB2">
        <w:rPr>
          <w:rFonts w:eastAsiaTheme="minorEastAsia" w:cstheme="minorHAnsi"/>
        </w:rPr>
        <w:t>whistleblowers procedure</w:t>
      </w:r>
    </w:p>
    <w:p w14:paraId="4603DA43" w14:textId="637B11C0" w:rsidR="00046006" w:rsidRPr="000817D9" w:rsidRDefault="00046006" w:rsidP="000817D9">
      <w:pPr>
        <w:numPr>
          <w:ilvl w:val="0"/>
          <w:numId w:val="2"/>
        </w:numPr>
        <w:spacing w:after="0"/>
        <w:contextualSpacing/>
        <w:rPr>
          <w:rFonts w:eastAsiaTheme="minorEastAsia" w:cstheme="minorHAnsi"/>
        </w:rPr>
      </w:pPr>
      <w:r w:rsidRPr="00046006">
        <w:rPr>
          <w:rFonts w:eastAsiaTheme="minorEastAsia" w:cstheme="minorHAnsi"/>
          <w:b/>
        </w:rPr>
        <w:t>Reporting in good faith</w:t>
      </w:r>
      <w:r w:rsidRPr="00046006">
        <w:rPr>
          <w:rFonts w:eastAsiaTheme="minorEastAsia" w:cstheme="minorHAnsi"/>
        </w:rPr>
        <w:t>: The whistleblower reports in good faith if he or she had reasonable grounds to believe that the information on the reported breach was true at the time of reporting.</w:t>
      </w:r>
    </w:p>
    <w:p w14:paraId="1CD90D6A" w14:textId="77777777" w:rsidR="00046006" w:rsidRPr="00993DC1" w:rsidRDefault="00046006" w:rsidP="00046006">
      <w:pPr>
        <w:pStyle w:val="paragraph"/>
      </w:pPr>
    </w:p>
    <w:p w14:paraId="3CE414A0" w14:textId="77777777" w:rsidR="00046006" w:rsidRPr="00993DC1" w:rsidRDefault="00046006" w:rsidP="000817D9">
      <w:pPr>
        <w:pStyle w:val="paragraph"/>
        <w:ind w:left="0"/>
        <w:rPr>
          <w:vanish/>
        </w:rPr>
      </w:pPr>
      <w:r w:rsidRPr="00993DC1">
        <w:rPr>
          <w:vanish/>
        </w:rPr>
        <w:t>Information about related policies or procedures, guidelines, forms, etc.</w:t>
      </w:r>
      <w:r w:rsidRPr="00993DC1">
        <w:rPr>
          <w:vanish/>
        </w:rPr>
        <w:br/>
        <w:t>Give complete (abstract) references and ensure that documents cited are readily available.</w:t>
      </w:r>
      <w:r w:rsidRPr="00993DC1">
        <w:rPr>
          <w:vanish/>
        </w:rPr>
        <w:br/>
        <w:t xml:space="preserve">If needed, provide additional background discussion here. </w:t>
      </w:r>
    </w:p>
    <w:p w14:paraId="0EC65C3A" w14:textId="77777777" w:rsidR="004261D2" w:rsidRDefault="004261D2">
      <w:pPr>
        <w:spacing w:after="160" w:line="259" w:lineRule="auto"/>
        <w:ind w:left="0"/>
        <w:rPr>
          <w:rFonts w:ascii="Calibri" w:hAnsi="Calibri"/>
          <w:sz w:val="24"/>
          <w:szCs w:val="24"/>
        </w:rPr>
      </w:pPr>
      <w:r>
        <w:br w:type="page"/>
      </w:r>
    </w:p>
    <w:p w14:paraId="16DA2188" w14:textId="255025C9" w:rsidR="00046006" w:rsidRDefault="00046006" w:rsidP="00046006">
      <w:pPr>
        <w:pStyle w:val="paragraph"/>
        <w:rPr>
          <w:vanish/>
        </w:rPr>
      </w:pPr>
      <w:r w:rsidRPr="00993DC1">
        <w:rPr>
          <w:vanish/>
        </w:rPr>
        <w:lastRenderedPageBreak/>
        <w:t xml:space="preserve">Reference to detailed procedures that are recommended in order to carry out the intent of the policy. </w:t>
      </w:r>
    </w:p>
    <w:p w14:paraId="49451182" w14:textId="77777777" w:rsidR="00046006" w:rsidRPr="00993DC1" w:rsidRDefault="00046006" w:rsidP="00046006">
      <w:pPr>
        <w:pStyle w:val="paragraph"/>
        <w:rPr>
          <w:vanish/>
        </w:rPr>
      </w:pPr>
    </w:p>
    <w:p w14:paraId="6D771F17" w14:textId="77777777" w:rsidR="004415B6" w:rsidRDefault="004415B6" w:rsidP="00547A7D">
      <w:pPr>
        <w:pStyle w:val="topicnonumbering"/>
      </w:pPr>
    </w:p>
    <w:p w14:paraId="27EAE545" w14:textId="1FB492F9" w:rsidR="00547A7D" w:rsidRDefault="00547A7D" w:rsidP="00547A7D">
      <w:pPr>
        <w:pStyle w:val="topicnonumbering"/>
      </w:pPr>
      <w:r>
        <w:t>Annex 1 – Material scope</w:t>
      </w:r>
    </w:p>
    <w:p w14:paraId="36A1EF2E" w14:textId="451CAE2A" w:rsidR="00547A7D" w:rsidRPr="003365F1" w:rsidRDefault="00547A7D" w:rsidP="00547A7D">
      <w:pPr>
        <w:pStyle w:val="paragraph"/>
        <w:numPr>
          <w:ilvl w:val="0"/>
          <w:numId w:val="6"/>
        </w:numPr>
        <w:rPr>
          <w:sz w:val="22"/>
          <w:szCs w:val="22"/>
        </w:rPr>
      </w:pPr>
      <w:r w:rsidRPr="003365F1">
        <w:rPr>
          <w:sz w:val="22"/>
          <w:szCs w:val="22"/>
        </w:rPr>
        <w:t>Public procurement</w:t>
      </w:r>
    </w:p>
    <w:p w14:paraId="08B49452" w14:textId="1BE221F8" w:rsidR="00547A7D" w:rsidRPr="003365F1" w:rsidRDefault="00547A7D" w:rsidP="00547A7D">
      <w:pPr>
        <w:pStyle w:val="paragraph"/>
        <w:numPr>
          <w:ilvl w:val="0"/>
          <w:numId w:val="6"/>
        </w:numPr>
        <w:rPr>
          <w:sz w:val="22"/>
          <w:szCs w:val="22"/>
        </w:rPr>
      </w:pPr>
      <w:r w:rsidRPr="003365F1">
        <w:rPr>
          <w:sz w:val="22"/>
          <w:szCs w:val="22"/>
        </w:rPr>
        <w:t>Product safety and compliance</w:t>
      </w:r>
    </w:p>
    <w:p w14:paraId="5BA8C5AC" w14:textId="57332640" w:rsidR="00547A7D" w:rsidRPr="003365F1" w:rsidRDefault="00547A7D" w:rsidP="00547A7D">
      <w:pPr>
        <w:pStyle w:val="paragraph"/>
        <w:numPr>
          <w:ilvl w:val="0"/>
          <w:numId w:val="6"/>
        </w:numPr>
        <w:rPr>
          <w:sz w:val="22"/>
          <w:szCs w:val="22"/>
        </w:rPr>
      </w:pPr>
      <w:r w:rsidRPr="003365F1">
        <w:rPr>
          <w:sz w:val="22"/>
          <w:szCs w:val="22"/>
        </w:rPr>
        <w:t>Food and feed safety, animal health and welfare</w:t>
      </w:r>
    </w:p>
    <w:p w14:paraId="5F5037B1" w14:textId="42257C6E" w:rsidR="00547A7D" w:rsidRPr="003365F1" w:rsidRDefault="00547A7D" w:rsidP="00547A7D">
      <w:pPr>
        <w:pStyle w:val="paragraph"/>
        <w:numPr>
          <w:ilvl w:val="0"/>
          <w:numId w:val="6"/>
        </w:numPr>
        <w:rPr>
          <w:sz w:val="22"/>
          <w:szCs w:val="22"/>
        </w:rPr>
      </w:pPr>
      <w:r w:rsidRPr="003365F1">
        <w:rPr>
          <w:sz w:val="22"/>
          <w:szCs w:val="22"/>
        </w:rPr>
        <w:t>Radiation protection and nuclear safety</w:t>
      </w:r>
    </w:p>
    <w:p w14:paraId="70829A99" w14:textId="63560FA9" w:rsidR="00547A7D" w:rsidRPr="003365F1" w:rsidRDefault="00547A7D" w:rsidP="00547A7D">
      <w:pPr>
        <w:pStyle w:val="paragraph"/>
        <w:numPr>
          <w:ilvl w:val="0"/>
          <w:numId w:val="6"/>
        </w:numPr>
        <w:rPr>
          <w:sz w:val="22"/>
          <w:szCs w:val="22"/>
        </w:rPr>
      </w:pPr>
      <w:r w:rsidRPr="003365F1">
        <w:rPr>
          <w:sz w:val="22"/>
          <w:szCs w:val="22"/>
        </w:rPr>
        <w:t>Protection of the environment</w:t>
      </w:r>
    </w:p>
    <w:p w14:paraId="5B3E4FDB" w14:textId="6CC55478" w:rsidR="00547A7D" w:rsidRPr="003365F1" w:rsidRDefault="00547A7D" w:rsidP="00547A7D">
      <w:pPr>
        <w:pStyle w:val="paragraph"/>
        <w:numPr>
          <w:ilvl w:val="0"/>
          <w:numId w:val="6"/>
        </w:numPr>
        <w:rPr>
          <w:sz w:val="22"/>
          <w:szCs w:val="22"/>
        </w:rPr>
      </w:pPr>
      <w:r w:rsidRPr="003365F1">
        <w:rPr>
          <w:sz w:val="22"/>
          <w:szCs w:val="22"/>
        </w:rPr>
        <w:t>Protection of privacy and personal data, and security of network information systems</w:t>
      </w:r>
    </w:p>
    <w:p w14:paraId="507F0868" w14:textId="22146EF8" w:rsidR="00547A7D" w:rsidRPr="003365F1" w:rsidRDefault="00547A7D" w:rsidP="00547A7D">
      <w:pPr>
        <w:pStyle w:val="paragraph"/>
        <w:numPr>
          <w:ilvl w:val="0"/>
          <w:numId w:val="6"/>
        </w:numPr>
        <w:rPr>
          <w:sz w:val="22"/>
          <w:szCs w:val="22"/>
        </w:rPr>
      </w:pPr>
      <w:r w:rsidRPr="003365F1">
        <w:rPr>
          <w:sz w:val="22"/>
          <w:szCs w:val="22"/>
        </w:rPr>
        <w:t>Financial services products and markets, and prevention of money laundering and terrorist financing</w:t>
      </w:r>
    </w:p>
    <w:p w14:paraId="51B4FB81" w14:textId="7A5150D0" w:rsidR="00547A7D" w:rsidRPr="003365F1" w:rsidRDefault="00547A7D" w:rsidP="00547A7D">
      <w:pPr>
        <w:pStyle w:val="paragraph"/>
        <w:numPr>
          <w:ilvl w:val="0"/>
          <w:numId w:val="6"/>
        </w:numPr>
        <w:rPr>
          <w:sz w:val="22"/>
          <w:szCs w:val="22"/>
        </w:rPr>
      </w:pPr>
      <w:r w:rsidRPr="003365F1">
        <w:rPr>
          <w:sz w:val="22"/>
          <w:szCs w:val="22"/>
        </w:rPr>
        <w:t>Consumer protection</w:t>
      </w:r>
    </w:p>
    <w:p w14:paraId="47B3E03A" w14:textId="6BC00F98" w:rsidR="00547A7D" w:rsidRPr="003365F1" w:rsidRDefault="00547A7D" w:rsidP="00547A7D">
      <w:pPr>
        <w:pStyle w:val="paragraph"/>
        <w:numPr>
          <w:ilvl w:val="0"/>
          <w:numId w:val="6"/>
        </w:numPr>
        <w:rPr>
          <w:sz w:val="22"/>
          <w:szCs w:val="22"/>
        </w:rPr>
      </w:pPr>
      <w:r w:rsidRPr="003365F1">
        <w:rPr>
          <w:sz w:val="22"/>
          <w:szCs w:val="22"/>
        </w:rPr>
        <w:t>Public health</w:t>
      </w:r>
    </w:p>
    <w:p w14:paraId="5A9F48E9" w14:textId="793F0BA8" w:rsidR="00547A7D" w:rsidRPr="003365F1" w:rsidRDefault="00547A7D" w:rsidP="00547A7D">
      <w:pPr>
        <w:pStyle w:val="paragraph"/>
        <w:numPr>
          <w:ilvl w:val="0"/>
          <w:numId w:val="6"/>
        </w:numPr>
        <w:rPr>
          <w:sz w:val="22"/>
          <w:szCs w:val="22"/>
        </w:rPr>
      </w:pPr>
      <w:r w:rsidRPr="003365F1">
        <w:rPr>
          <w:sz w:val="22"/>
          <w:szCs w:val="22"/>
        </w:rPr>
        <w:t>Transport safety</w:t>
      </w:r>
    </w:p>
    <w:p w14:paraId="151B6D4E" w14:textId="663637FE" w:rsidR="00547A7D" w:rsidRPr="003365F1" w:rsidRDefault="00547A7D" w:rsidP="00547A7D">
      <w:pPr>
        <w:pStyle w:val="paragraph"/>
        <w:numPr>
          <w:ilvl w:val="0"/>
          <w:numId w:val="6"/>
        </w:numPr>
        <w:rPr>
          <w:sz w:val="22"/>
          <w:szCs w:val="22"/>
        </w:rPr>
      </w:pPr>
      <w:r w:rsidRPr="003365F1">
        <w:rPr>
          <w:sz w:val="22"/>
          <w:szCs w:val="22"/>
        </w:rPr>
        <w:t>Tax and social fraud + evasion</w:t>
      </w:r>
    </w:p>
    <w:p w14:paraId="44578F20" w14:textId="7C5888D0" w:rsidR="007D4B3A" w:rsidRDefault="003365F1" w:rsidP="003365F1">
      <w:pPr>
        <w:numPr>
          <w:ilvl w:val="0"/>
          <w:numId w:val="6"/>
        </w:numPr>
        <w:spacing w:after="0"/>
        <w:contextualSpacing/>
        <w:rPr>
          <w:rFonts w:eastAsiaTheme="minorEastAsia" w:cstheme="minorHAnsi"/>
        </w:rPr>
      </w:pPr>
      <w:r>
        <w:rPr>
          <w:rFonts w:eastAsiaTheme="minorEastAsia" w:cstheme="minorHAnsi"/>
        </w:rPr>
        <w:t>B</w:t>
      </w:r>
      <w:r w:rsidR="00FE70FE" w:rsidRPr="003365F1">
        <w:rPr>
          <w:rFonts w:eastAsiaTheme="minorEastAsia" w:cstheme="minorHAnsi"/>
        </w:rPr>
        <w:t>reaches affecting the financial interests of the Union</w:t>
      </w:r>
    </w:p>
    <w:p w14:paraId="7507ACEB" w14:textId="77777777" w:rsidR="003365F1" w:rsidRPr="003365F1" w:rsidRDefault="003365F1" w:rsidP="003365F1">
      <w:pPr>
        <w:spacing w:after="0"/>
        <w:ind w:left="720"/>
        <w:contextualSpacing/>
        <w:rPr>
          <w:rFonts w:eastAsiaTheme="minorEastAsia" w:cstheme="minorHAnsi"/>
        </w:rPr>
      </w:pPr>
    </w:p>
    <w:p w14:paraId="63D0E9A6" w14:textId="7BF98ACC" w:rsidR="00FE70FE" w:rsidRDefault="003365F1" w:rsidP="00FE70FE">
      <w:pPr>
        <w:numPr>
          <w:ilvl w:val="0"/>
          <w:numId w:val="6"/>
        </w:numPr>
        <w:spacing w:after="0"/>
        <w:contextualSpacing/>
        <w:rPr>
          <w:rFonts w:eastAsiaTheme="minorEastAsia" w:cstheme="minorHAnsi"/>
        </w:rPr>
      </w:pPr>
      <w:r>
        <w:rPr>
          <w:rFonts w:eastAsiaTheme="minorEastAsia" w:cstheme="minorHAnsi"/>
        </w:rPr>
        <w:t>B</w:t>
      </w:r>
      <w:r w:rsidR="00FE70FE" w:rsidRPr="003365F1">
        <w:rPr>
          <w:rFonts w:eastAsiaTheme="minorEastAsia" w:cstheme="minorHAnsi"/>
        </w:rPr>
        <w:t>reaches relating to the internal market, competition and State aid rules or the rules of corporate tax</w:t>
      </w:r>
    </w:p>
    <w:p w14:paraId="192BAE69" w14:textId="77777777" w:rsidR="00591EF9" w:rsidRDefault="00591EF9" w:rsidP="00591EF9">
      <w:pPr>
        <w:pStyle w:val="Lijstalinea"/>
        <w:rPr>
          <w:rFonts w:eastAsiaTheme="minorEastAsia" w:cstheme="minorHAnsi"/>
        </w:rPr>
      </w:pPr>
    </w:p>
    <w:p w14:paraId="75BAC530" w14:textId="680DDD76" w:rsidR="00591EF9" w:rsidRPr="003365F1" w:rsidRDefault="00591EF9" w:rsidP="00FE70FE">
      <w:pPr>
        <w:numPr>
          <w:ilvl w:val="0"/>
          <w:numId w:val="6"/>
        </w:numPr>
        <w:spacing w:after="0"/>
        <w:contextualSpacing/>
        <w:rPr>
          <w:rFonts w:eastAsiaTheme="minorEastAsia" w:cstheme="minorHAnsi"/>
        </w:rPr>
      </w:pPr>
      <w:r>
        <w:rPr>
          <w:rFonts w:eastAsiaTheme="minorEastAsia" w:cstheme="minorHAnsi"/>
        </w:rPr>
        <w:t>Fraud</w:t>
      </w:r>
    </w:p>
    <w:p w14:paraId="00D52703" w14:textId="77777777" w:rsidR="0068570A" w:rsidRPr="003365F1" w:rsidRDefault="0068570A" w:rsidP="0068570A">
      <w:pPr>
        <w:spacing w:after="0"/>
        <w:ind w:left="0"/>
        <w:rPr>
          <w:rFonts w:eastAsiaTheme="minorEastAsia" w:cstheme="minorHAnsi"/>
          <w:sz w:val="20"/>
          <w:szCs w:val="20"/>
        </w:rPr>
      </w:pPr>
    </w:p>
    <w:p w14:paraId="26B69002" w14:textId="77777777" w:rsidR="0002268A" w:rsidRDefault="0002268A">
      <w:pPr>
        <w:spacing w:after="160" w:line="259" w:lineRule="auto"/>
        <w:ind w:left="0"/>
        <w:rPr>
          <w:rFonts w:ascii="Calibri" w:hAnsi="Calibri"/>
        </w:rPr>
      </w:pPr>
      <w:r>
        <w:br w:type="page"/>
      </w:r>
    </w:p>
    <w:p w14:paraId="4DF1C7D4" w14:textId="20CAFF73" w:rsidR="0002268A" w:rsidRPr="00627CFF" w:rsidRDefault="0002268A" w:rsidP="0002268A">
      <w:pPr>
        <w:pStyle w:val="paragraph"/>
        <w:ind w:left="0"/>
        <w:rPr>
          <w:sz w:val="28"/>
          <w:szCs w:val="28"/>
        </w:rPr>
      </w:pPr>
      <w:r w:rsidRPr="00627CFF">
        <w:rPr>
          <w:sz w:val="28"/>
          <w:szCs w:val="28"/>
        </w:rPr>
        <w:lastRenderedPageBreak/>
        <w:t>ANNEX 2 : DATA PROTECTION STATEMENT OF THE WHISTLEBLOWING SYSTEM</w:t>
      </w:r>
    </w:p>
    <w:p w14:paraId="3F4FD7A2" w14:textId="77777777" w:rsidR="00627CFF" w:rsidRDefault="00627CFF" w:rsidP="0002268A">
      <w:pPr>
        <w:pStyle w:val="paragraph"/>
        <w:ind w:left="0"/>
        <w:rPr>
          <w:sz w:val="22"/>
          <w:szCs w:val="22"/>
        </w:rPr>
      </w:pPr>
    </w:p>
    <w:p w14:paraId="44DF5082" w14:textId="030704CD" w:rsidR="0002268A" w:rsidRPr="0002268A" w:rsidRDefault="0002268A" w:rsidP="0002268A">
      <w:pPr>
        <w:pStyle w:val="paragraph"/>
        <w:ind w:left="0"/>
        <w:rPr>
          <w:sz w:val="22"/>
          <w:szCs w:val="22"/>
        </w:rPr>
      </w:pPr>
      <w:r>
        <w:rPr>
          <w:sz w:val="22"/>
          <w:szCs w:val="22"/>
        </w:rPr>
        <w:t xml:space="preserve">AWDC </w:t>
      </w:r>
      <w:r w:rsidRPr="0002268A">
        <w:rPr>
          <w:sz w:val="22"/>
          <w:szCs w:val="22"/>
        </w:rPr>
        <w:t>takes the protection and confidentiality of personal data very serious and complies with the applicable data protection regulations. Please read this data protection information carefully before submitting a Report.</w:t>
      </w:r>
    </w:p>
    <w:p w14:paraId="6308D7E6" w14:textId="5B42E186" w:rsidR="0002268A" w:rsidRPr="0002268A" w:rsidRDefault="0002268A" w:rsidP="0002268A">
      <w:pPr>
        <w:pStyle w:val="paragraph"/>
        <w:ind w:left="0"/>
        <w:rPr>
          <w:sz w:val="22"/>
          <w:szCs w:val="22"/>
          <w:u w:val="single"/>
        </w:rPr>
      </w:pPr>
      <w:r w:rsidRPr="0002268A">
        <w:rPr>
          <w:sz w:val="22"/>
          <w:szCs w:val="22"/>
          <w:u w:val="single"/>
        </w:rPr>
        <w:t>Purpose of the whistleblowing system</w:t>
      </w:r>
    </w:p>
    <w:p w14:paraId="35E98EBD" w14:textId="4AB84407" w:rsidR="0002268A" w:rsidRPr="0002268A" w:rsidRDefault="0002268A" w:rsidP="0002268A">
      <w:pPr>
        <w:pStyle w:val="paragraph"/>
        <w:ind w:left="0"/>
        <w:rPr>
          <w:sz w:val="22"/>
          <w:szCs w:val="22"/>
        </w:rPr>
      </w:pPr>
      <w:r w:rsidRPr="0002268A">
        <w:rPr>
          <w:sz w:val="22"/>
          <w:szCs w:val="22"/>
        </w:rPr>
        <w:t xml:space="preserve">The whistleblowing system serves to receive and process Reports of Breaches of the material scope of the Whistleblowing </w:t>
      </w:r>
      <w:r>
        <w:rPr>
          <w:sz w:val="22"/>
          <w:szCs w:val="22"/>
        </w:rPr>
        <w:t xml:space="preserve">legislation </w:t>
      </w:r>
      <w:r w:rsidRPr="0002268A">
        <w:rPr>
          <w:sz w:val="22"/>
          <w:szCs w:val="22"/>
        </w:rPr>
        <w:t>in a secure and confidential manner.</w:t>
      </w:r>
    </w:p>
    <w:p w14:paraId="5C15C4BF" w14:textId="77777777" w:rsidR="0002268A" w:rsidRPr="0002268A" w:rsidRDefault="0002268A" w:rsidP="0002268A">
      <w:pPr>
        <w:pStyle w:val="paragraph"/>
        <w:ind w:left="0"/>
        <w:rPr>
          <w:sz w:val="22"/>
          <w:szCs w:val="22"/>
          <w:u w:val="single"/>
        </w:rPr>
      </w:pPr>
      <w:r w:rsidRPr="0002268A">
        <w:rPr>
          <w:sz w:val="22"/>
          <w:szCs w:val="22"/>
          <w:u w:val="single"/>
        </w:rPr>
        <w:t>Responsible body and data security</w:t>
      </w:r>
    </w:p>
    <w:p w14:paraId="54FF6E2F" w14:textId="0DFE3978" w:rsidR="0002268A" w:rsidRPr="0002268A" w:rsidRDefault="0002268A" w:rsidP="0002268A">
      <w:pPr>
        <w:pStyle w:val="paragraph"/>
        <w:ind w:left="0"/>
        <w:rPr>
          <w:sz w:val="22"/>
          <w:szCs w:val="22"/>
        </w:rPr>
      </w:pPr>
      <w:r>
        <w:rPr>
          <w:sz w:val="22"/>
          <w:szCs w:val="22"/>
        </w:rPr>
        <w:t xml:space="preserve">AWDC </w:t>
      </w:r>
      <w:r w:rsidRPr="0002268A">
        <w:rPr>
          <w:sz w:val="22"/>
          <w:szCs w:val="22"/>
        </w:rPr>
        <w:t>is responsible for data protection of the whistleblowing system.</w:t>
      </w:r>
    </w:p>
    <w:p w14:paraId="6632D644" w14:textId="77777777" w:rsidR="0002268A" w:rsidRPr="0002268A" w:rsidRDefault="0002268A" w:rsidP="0002268A">
      <w:pPr>
        <w:pStyle w:val="paragraph"/>
        <w:ind w:left="0"/>
        <w:rPr>
          <w:sz w:val="22"/>
          <w:szCs w:val="22"/>
          <w:u w:val="single"/>
        </w:rPr>
      </w:pPr>
      <w:r w:rsidRPr="0002268A">
        <w:rPr>
          <w:sz w:val="22"/>
          <w:szCs w:val="22"/>
          <w:u w:val="single"/>
        </w:rPr>
        <w:t xml:space="preserve">Legal basis for collecting personal data </w:t>
      </w:r>
    </w:p>
    <w:p w14:paraId="2A94E59A" w14:textId="79A2F643" w:rsidR="0002268A" w:rsidRPr="0002268A" w:rsidRDefault="0002268A" w:rsidP="0002268A">
      <w:pPr>
        <w:pStyle w:val="paragraph"/>
        <w:ind w:left="0"/>
        <w:rPr>
          <w:sz w:val="22"/>
          <w:szCs w:val="22"/>
        </w:rPr>
      </w:pPr>
      <w:r w:rsidRPr="0002268A">
        <w:rPr>
          <w:sz w:val="22"/>
          <w:szCs w:val="22"/>
        </w:rPr>
        <w:t xml:space="preserve">In the context of the legal obligation incumbent on </w:t>
      </w:r>
      <w:r>
        <w:rPr>
          <w:sz w:val="22"/>
          <w:szCs w:val="22"/>
        </w:rPr>
        <w:t xml:space="preserve">AWDC </w:t>
      </w:r>
      <w:r w:rsidRPr="0002268A">
        <w:rPr>
          <w:sz w:val="22"/>
          <w:szCs w:val="22"/>
        </w:rPr>
        <w:t xml:space="preserve">to establish an </w:t>
      </w:r>
      <w:r>
        <w:rPr>
          <w:sz w:val="22"/>
          <w:szCs w:val="22"/>
        </w:rPr>
        <w:t xml:space="preserve">Whistleblowing </w:t>
      </w:r>
      <w:r w:rsidRPr="0002268A">
        <w:rPr>
          <w:sz w:val="22"/>
          <w:szCs w:val="22"/>
        </w:rPr>
        <w:t xml:space="preserve">Channel and investigate Reports pursuant to the Whistleblowing Act, personal data is collected and processed.  </w:t>
      </w:r>
    </w:p>
    <w:p w14:paraId="7F7C436F" w14:textId="34FB2A53" w:rsidR="0002268A" w:rsidRPr="002D606C" w:rsidRDefault="0002268A" w:rsidP="0002268A">
      <w:pPr>
        <w:pStyle w:val="paragraph"/>
        <w:ind w:left="0"/>
        <w:rPr>
          <w:sz w:val="22"/>
          <w:szCs w:val="22"/>
          <w:u w:val="single"/>
        </w:rPr>
      </w:pPr>
      <w:r w:rsidRPr="002D606C">
        <w:rPr>
          <w:sz w:val="22"/>
          <w:szCs w:val="22"/>
          <w:u w:val="single"/>
        </w:rPr>
        <w:t>Nature of personal data collected</w:t>
      </w:r>
    </w:p>
    <w:p w14:paraId="2EDE7772" w14:textId="7CBF8D0E" w:rsidR="0002268A" w:rsidRPr="0002268A" w:rsidRDefault="0002268A" w:rsidP="0002268A">
      <w:pPr>
        <w:pStyle w:val="paragraph"/>
        <w:ind w:left="0"/>
        <w:rPr>
          <w:sz w:val="22"/>
          <w:szCs w:val="22"/>
        </w:rPr>
      </w:pPr>
      <w:r w:rsidRPr="0002268A">
        <w:rPr>
          <w:sz w:val="22"/>
          <w:szCs w:val="22"/>
        </w:rPr>
        <w:t>The use of the whistleblowing system is on a voluntary basis. If you submit a Report through the whistleblowing system, we collect the following personal data and information:</w:t>
      </w:r>
    </w:p>
    <w:p w14:paraId="279919FF" w14:textId="59097E22" w:rsidR="0002268A" w:rsidRPr="0002268A" w:rsidRDefault="0002268A" w:rsidP="0002268A">
      <w:pPr>
        <w:pStyle w:val="paragraph"/>
        <w:ind w:left="0"/>
        <w:rPr>
          <w:sz w:val="22"/>
          <w:szCs w:val="22"/>
        </w:rPr>
      </w:pPr>
      <w:r w:rsidRPr="0002268A">
        <w:rPr>
          <w:sz w:val="22"/>
          <w:szCs w:val="22"/>
        </w:rPr>
        <w:t>-</w:t>
      </w:r>
      <w:r w:rsidRPr="0002268A">
        <w:rPr>
          <w:sz w:val="22"/>
          <w:szCs w:val="22"/>
        </w:rPr>
        <w:tab/>
        <w:t xml:space="preserve">your name </w:t>
      </w:r>
      <w:r w:rsidR="00C36A9C">
        <w:rPr>
          <w:sz w:val="22"/>
          <w:szCs w:val="22"/>
        </w:rPr>
        <w:t xml:space="preserve">if </w:t>
      </w:r>
      <w:r w:rsidRPr="0002268A">
        <w:rPr>
          <w:sz w:val="22"/>
          <w:szCs w:val="22"/>
        </w:rPr>
        <w:t>you disclose your identity</w:t>
      </w:r>
    </w:p>
    <w:p w14:paraId="37870D5A" w14:textId="599F2312" w:rsidR="0002268A" w:rsidRPr="0002268A" w:rsidRDefault="0002268A" w:rsidP="0002268A">
      <w:pPr>
        <w:pStyle w:val="paragraph"/>
        <w:ind w:left="0"/>
        <w:rPr>
          <w:sz w:val="22"/>
          <w:szCs w:val="22"/>
        </w:rPr>
      </w:pPr>
      <w:r w:rsidRPr="0002268A">
        <w:rPr>
          <w:sz w:val="22"/>
          <w:szCs w:val="22"/>
        </w:rPr>
        <w:t>-</w:t>
      </w:r>
      <w:r w:rsidRPr="0002268A">
        <w:rPr>
          <w:sz w:val="22"/>
          <w:szCs w:val="22"/>
        </w:rPr>
        <w:tab/>
        <w:t>whether you are employed by</w:t>
      </w:r>
      <w:r w:rsidR="00C36A9C">
        <w:rPr>
          <w:sz w:val="22"/>
          <w:szCs w:val="22"/>
        </w:rPr>
        <w:t xml:space="preserve"> </w:t>
      </w:r>
      <w:r w:rsidR="006D1CA9">
        <w:rPr>
          <w:sz w:val="22"/>
          <w:szCs w:val="22"/>
        </w:rPr>
        <w:t>AWDC or the registered Diamond Company</w:t>
      </w:r>
    </w:p>
    <w:p w14:paraId="080031A3" w14:textId="1ED89034" w:rsidR="00E56EB6" w:rsidRPr="0002268A" w:rsidRDefault="0002268A" w:rsidP="0002268A">
      <w:pPr>
        <w:pStyle w:val="paragraph"/>
        <w:ind w:left="0"/>
        <w:rPr>
          <w:sz w:val="22"/>
          <w:szCs w:val="22"/>
        </w:rPr>
      </w:pPr>
      <w:r w:rsidRPr="0002268A">
        <w:rPr>
          <w:sz w:val="22"/>
          <w:szCs w:val="22"/>
        </w:rPr>
        <w:t>-</w:t>
      </w:r>
      <w:r w:rsidRPr="0002268A">
        <w:rPr>
          <w:sz w:val="22"/>
          <w:szCs w:val="22"/>
        </w:rPr>
        <w:tab/>
        <w:t>where applicable, the names of the persons and other personal data of the persons you mention in your Report.</w:t>
      </w:r>
    </w:p>
    <w:p w14:paraId="674B1726" w14:textId="6AA15A16" w:rsidR="0002268A" w:rsidRPr="00E56EB6" w:rsidRDefault="0002268A" w:rsidP="0002268A">
      <w:pPr>
        <w:pStyle w:val="paragraph"/>
        <w:ind w:left="0"/>
        <w:rPr>
          <w:sz w:val="22"/>
          <w:szCs w:val="22"/>
          <w:u w:val="single"/>
        </w:rPr>
      </w:pPr>
      <w:r w:rsidRPr="00E56EB6">
        <w:rPr>
          <w:sz w:val="22"/>
          <w:szCs w:val="22"/>
          <w:u w:val="single"/>
        </w:rPr>
        <w:t>Confidential treatment of Reports</w:t>
      </w:r>
    </w:p>
    <w:p w14:paraId="6825CF10" w14:textId="2F0A2088" w:rsidR="0002268A" w:rsidRPr="0002268A" w:rsidRDefault="0002268A" w:rsidP="0002268A">
      <w:pPr>
        <w:pStyle w:val="paragraph"/>
        <w:ind w:left="0"/>
        <w:rPr>
          <w:sz w:val="22"/>
          <w:szCs w:val="22"/>
        </w:rPr>
      </w:pPr>
      <w:r w:rsidRPr="0002268A">
        <w:rPr>
          <w:sz w:val="22"/>
          <w:szCs w:val="22"/>
        </w:rPr>
        <w:t xml:space="preserve">Incoming Reports are received by the </w:t>
      </w:r>
      <w:r w:rsidR="00E56EB6">
        <w:rPr>
          <w:sz w:val="22"/>
          <w:szCs w:val="22"/>
        </w:rPr>
        <w:t xml:space="preserve">Whistleblowing Officer </w:t>
      </w:r>
      <w:r w:rsidRPr="0002268A">
        <w:rPr>
          <w:sz w:val="22"/>
          <w:szCs w:val="22"/>
        </w:rPr>
        <w:t xml:space="preserve">and always treated confidentially. The </w:t>
      </w:r>
      <w:r w:rsidR="00E56EB6">
        <w:rPr>
          <w:sz w:val="22"/>
          <w:szCs w:val="22"/>
        </w:rPr>
        <w:t xml:space="preserve">Whistleblowing Officer </w:t>
      </w:r>
      <w:r w:rsidRPr="0002268A">
        <w:rPr>
          <w:sz w:val="22"/>
          <w:szCs w:val="22"/>
        </w:rPr>
        <w:t xml:space="preserve"> investigates the facts of the case and, if necessary, conducts a further detailed investigation of the facts.</w:t>
      </w:r>
    </w:p>
    <w:p w14:paraId="72ABA3FA" w14:textId="453B771C" w:rsidR="0002268A" w:rsidRPr="0002268A" w:rsidRDefault="0002268A" w:rsidP="0002268A">
      <w:pPr>
        <w:pStyle w:val="paragraph"/>
        <w:ind w:left="0"/>
        <w:rPr>
          <w:sz w:val="22"/>
          <w:szCs w:val="22"/>
        </w:rPr>
      </w:pPr>
      <w:r w:rsidRPr="0002268A">
        <w:rPr>
          <w:sz w:val="22"/>
          <w:szCs w:val="22"/>
        </w:rPr>
        <w:t xml:space="preserve">In the context of processing a Report or in the context of a special investigation, it may be necessary to pass on information to other employees or to employees of </w:t>
      </w:r>
      <w:r w:rsidR="00E56EB6">
        <w:rPr>
          <w:sz w:val="22"/>
          <w:szCs w:val="22"/>
        </w:rPr>
        <w:t>Grant Thornton as independent consultants</w:t>
      </w:r>
      <w:r w:rsidRPr="0002268A">
        <w:rPr>
          <w:sz w:val="22"/>
          <w:szCs w:val="22"/>
        </w:rPr>
        <w:t xml:space="preserve">. When passing on information, we always ensure that the applicable data protection regulations are observed. </w:t>
      </w:r>
      <w:r w:rsidR="00E7164A">
        <w:rPr>
          <w:sz w:val="22"/>
          <w:szCs w:val="22"/>
        </w:rPr>
        <w:t xml:space="preserve"> </w:t>
      </w:r>
      <w:r w:rsidRPr="0002268A">
        <w:rPr>
          <w:sz w:val="22"/>
          <w:szCs w:val="22"/>
        </w:rPr>
        <w:t>Anyone with access to the data is obliged to maintain confidentiality.</w:t>
      </w:r>
    </w:p>
    <w:p w14:paraId="52D43FCB" w14:textId="78C2E64D" w:rsidR="0002268A" w:rsidRPr="00E7164A" w:rsidRDefault="0002268A" w:rsidP="0002268A">
      <w:pPr>
        <w:pStyle w:val="paragraph"/>
        <w:ind w:left="0"/>
        <w:rPr>
          <w:sz w:val="22"/>
          <w:szCs w:val="22"/>
          <w:u w:val="single"/>
        </w:rPr>
      </w:pPr>
      <w:r w:rsidRPr="00E7164A">
        <w:rPr>
          <w:sz w:val="22"/>
          <w:szCs w:val="22"/>
          <w:u w:val="single"/>
        </w:rPr>
        <w:t>Proportionality</w:t>
      </w:r>
    </w:p>
    <w:p w14:paraId="20958770" w14:textId="5C189C64" w:rsidR="0002268A" w:rsidRPr="0002268A" w:rsidRDefault="0002268A" w:rsidP="0002268A">
      <w:pPr>
        <w:pStyle w:val="paragraph"/>
        <w:ind w:left="0"/>
        <w:rPr>
          <w:sz w:val="22"/>
          <w:szCs w:val="22"/>
        </w:rPr>
      </w:pPr>
      <w:r w:rsidRPr="0002268A">
        <w:rPr>
          <w:sz w:val="22"/>
          <w:szCs w:val="22"/>
        </w:rPr>
        <w:t xml:space="preserve">The </w:t>
      </w:r>
      <w:r w:rsidR="00E56EB6">
        <w:rPr>
          <w:sz w:val="22"/>
          <w:szCs w:val="22"/>
        </w:rPr>
        <w:t xml:space="preserve">Whistleblowing Officer </w:t>
      </w:r>
      <w:r w:rsidRPr="0002268A">
        <w:rPr>
          <w:sz w:val="22"/>
          <w:szCs w:val="22"/>
        </w:rPr>
        <w:t xml:space="preserve"> shall only process personal data that from an objective point of view is necessary to investigate a Report. Sensitive personal data, such as ethnicity, political views, religious beliefs, trade union membership or data concerning the health or sexual status of the person, will not be processed unless the Report relates to such data. Personal data that is clearly not relevant to the handling of a specific Report will not be collected, or, if collected unintentionally, will be deleted immediately. </w:t>
      </w:r>
    </w:p>
    <w:p w14:paraId="237986F1" w14:textId="77777777" w:rsidR="0002268A" w:rsidRPr="00E7164A" w:rsidRDefault="0002268A" w:rsidP="0002268A">
      <w:pPr>
        <w:pStyle w:val="paragraph"/>
        <w:ind w:left="0"/>
        <w:rPr>
          <w:sz w:val="22"/>
          <w:szCs w:val="22"/>
          <w:u w:val="single"/>
        </w:rPr>
      </w:pPr>
      <w:r w:rsidRPr="00E7164A">
        <w:rPr>
          <w:sz w:val="22"/>
          <w:szCs w:val="22"/>
          <w:u w:val="single"/>
        </w:rPr>
        <w:t>Storage period of personal data</w:t>
      </w:r>
    </w:p>
    <w:p w14:paraId="083A8852" w14:textId="77777777" w:rsidR="0002268A" w:rsidRPr="0002268A" w:rsidRDefault="0002268A" w:rsidP="0002268A">
      <w:pPr>
        <w:pStyle w:val="paragraph"/>
        <w:ind w:left="0"/>
        <w:rPr>
          <w:sz w:val="22"/>
          <w:szCs w:val="22"/>
        </w:rPr>
      </w:pPr>
    </w:p>
    <w:p w14:paraId="4EDEBED0" w14:textId="0844E45A" w:rsidR="0002268A" w:rsidRPr="0002268A" w:rsidRDefault="0002268A" w:rsidP="0002268A">
      <w:pPr>
        <w:pStyle w:val="paragraph"/>
        <w:ind w:left="0"/>
        <w:rPr>
          <w:sz w:val="22"/>
          <w:szCs w:val="22"/>
        </w:rPr>
      </w:pPr>
      <w:r w:rsidRPr="0002268A">
        <w:rPr>
          <w:sz w:val="22"/>
          <w:szCs w:val="22"/>
        </w:rPr>
        <w:lastRenderedPageBreak/>
        <w:t>Personal data will be kept as long as necessary for the investigation and final assessment, taking into account statutory periods.</w:t>
      </w:r>
    </w:p>
    <w:p w14:paraId="20171AE3" w14:textId="4DB866F7" w:rsidR="0002268A" w:rsidRPr="0002268A" w:rsidRDefault="0002268A" w:rsidP="0002268A">
      <w:pPr>
        <w:pStyle w:val="paragraph"/>
        <w:ind w:left="0"/>
        <w:rPr>
          <w:sz w:val="22"/>
          <w:szCs w:val="22"/>
        </w:rPr>
      </w:pPr>
      <w:r w:rsidRPr="0002268A">
        <w:rPr>
          <w:sz w:val="22"/>
          <w:szCs w:val="22"/>
        </w:rPr>
        <w:t xml:space="preserve">The name, position and contact details both of the </w:t>
      </w:r>
      <w:r w:rsidR="00E56EB6">
        <w:rPr>
          <w:sz w:val="22"/>
          <w:szCs w:val="22"/>
        </w:rPr>
        <w:t>Whistleblower</w:t>
      </w:r>
      <w:r w:rsidRPr="0002268A">
        <w:rPr>
          <w:sz w:val="22"/>
          <w:szCs w:val="22"/>
        </w:rPr>
        <w:t xml:space="preserve"> and any person to whom the protection measures extend, and of the person concerned, including, where applicable, the company number, shall be kept up to when the reported breach </w:t>
      </w:r>
      <w:r w:rsidR="00BE56CD">
        <w:rPr>
          <w:sz w:val="22"/>
          <w:szCs w:val="22"/>
        </w:rPr>
        <w:t>in accordance with statutory limitations</w:t>
      </w:r>
      <w:r w:rsidRPr="0002268A">
        <w:rPr>
          <w:sz w:val="22"/>
          <w:szCs w:val="22"/>
        </w:rPr>
        <w:t>. Reports shall be kept at least for the duration of the contractual relationship</w:t>
      </w:r>
      <w:r w:rsidR="00BE56CD">
        <w:rPr>
          <w:sz w:val="22"/>
          <w:szCs w:val="22"/>
        </w:rPr>
        <w:t>.</w:t>
      </w:r>
      <w:r w:rsidRPr="0002268A">
        <w:rPr>
          <w:sz w:val="22"/>
          <w:szCs w:val="22"/>
        </w:rPr>
        <w:t xml:space="preserve"> </w:t>
      </w:r>
    </w:p>
    <w:p w14:paraId="316F3315" w14:textId="77777777" w:rsidR="0002268A" w:rsidRPr="0002268A" w:rsidRDefault="0002268A" w:rsidP="0002268A">
      <w:pPr>
        <w:pStyle w:val="paragraph"/>
        <w:ind w:left="0"/>
        <w:rPr>
          <w:sz w:val="22"/>
          <w:szCs w:val="22"/>
        </w:rPr>
      </w:pPr>
    </w:p>
    <w:p w14:paraId="12078473" w14:textId="77777777" w:rsidR="0002268A" w:rsidRPr="0002268A" w:rsidRDefault="0002268A" w:rsidP="0002268A">
      <w:pPr>
        <w:pStyle w:val="paragraph"/>
        <w:ind w:left="0"/>
        <w:rPr>
          <w:sz w:val="22"/>
          <w:szCs w:val="22"/>
        </w:rPr>
      </w:pPr>
    </w:p>
    <w:p w14:paraId="4570DEC2" w14:textId="77777777" w:rsidR="0002268A" w:rsidRPr="0002268A" w:rsidRDefault="0002268A" w:rsidP="0002268A">
      <w:pPr>
        <w:pStyle w:val="paragraph"/>
        <w:ind w:left="0"/>
        <w:rPr>
          <w:sz w:val="22"/>
          <w:szCs w:val="22"/>
        </w:rPr>
      </w:pPr>
    </w:p>
    <w:p w14:paraId="161E8E0C" w14:textId="77777777" w:rsidR="0002268A" w:rsidRPr="0002268A" w:rsidRDefault="0002268A" w:rsidP="0002268A">
      <w:pPr>
        <w:pStyle w:val="paragraph"/>
        <w:ind w:left="0"/>
        <w:rPr>
          <w:sz w:val="22"/>
          <w:szCs w:val="22"/>
        </w:rPr>
      </w:pPr>
    </w:p>
    <w:p w14:paraId="0A91FAB4" w14:textId="12EDA2A4" w:rsidR="00547A7D" w:rsidRPr="003365F1" w:rsidRDefault="00547A7D" w:rsidP="00547A7D">
      <w:pPr>
        <w:pStyle w:val="paragraph"/>
        <w:ind w:left="0"/>
        <w:rPr>
          <w:sz w:val="22"/>
          <w:szCs w:val="22"/>
        </w:rPr>
      </w:pPr>
    </w:p>
    <w:sectPr w:rsidR="00547A7D" w:rsidRPr="003365F1" w:rsidSect="00046006">
      <w:headerReference w:type="even" r:id="rId14"/>
      <w:headerReference w:type="default" r:id="rId15"/>
      <w:footerReference w:type="even" r:id="rId16"/>
      <w:headerReference w:type="first" r:id="rId17"/>
      <w:footerReference w:type="first" r:id="rId18"/>
      <w:pgSz w:w="11906" w:h="16838" w:code="9"/>
      <w:pgMar w:top="1985" w:right="1134" w:bottom="1134" w:left="1440" w:header="6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F4A8" w14:textId="77777777" w:rsidR="002426CC" w:rsidRDefault="002426CC">
      <w:pPr>
        <w:spacing w:after="0"/>
      </w:pPr>
      <w:r>
        <w:separator/>
      </w:r>
    </w:p>
  </w:endnote>
  <w:endnote w:type="continuationSeparator" w:id="0">
    <w:p w14:paraId="34F78AA4" w14:textId="77777777" w:rsidR="002426CC" w:rsidRDefault="002426CC">
      <w:pPr>
        <w:spacing w:after="0"/>
      </w:pPr>
      <w:r>
        <w:continuationSeparator/>
      </w:r>
    </w:p>
  </w:endnote>
  <w:endnote w:type="continuationNotice" w:id="1">
    <w:p w14:paraId="4F525962" w14:textId="77777777" w:rsidR="002426CC" w:rsidRDefault="002426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B1C4" w14:textId="77777777" w:rsidR="001B1AA4" w:rsidRPr="00F45D7F" w:rsidRDefault="001B1AA4">
    <w:pPr>
      <w:pStyle w:val="Footer1"/>
      <w:rPr>
        <w:color w:val="3C3C3B"/>
        <w:sz w:val="22"/>
        <w:szCs w:val="22"/>
      </w:rPr>
    </w:pPr>
    <w:r w:rsidRPr="00F45D7F">
      <w:rPr>
        <w:rStyle w:val="emphasiscolour"/>
        <w:color w:val="3C3C3B"/>
        <w:sz w:val="22"/>
        <w:szCs w:val="22"/>
      </w:rPr>
      <w:fldChar w:fldCharType="begin"/>
    </w:r>
    <w:r w:rsidRPr="00F45D7F">
      <w:rPr>
        <w:rStyle w:val="emphasiscolour"/>
        <w:color w:val="3C3C3B"/>
        <w:sz w:val="22"/>
        <w:szCs w:val="22"/>
      </w:rPr>
      <w:instrText xml:space="preserve"> PAGE   \* MERGEFORMAT </w:instrText>
    </w:r>
    <w:r w:rsidRPr="00F45D7F">
      <w:rPr>
        <w:rStyle w:val="emphasiscolour"/>
        <w:color w:val="3C3C3B"/>
        <w:sz w:val="22"/>
        <w:szCs w:val="22"/>
      </w:rPr>
      <w:fldChar w:fldCharType="separate"/>
    </w:r>
    <w:r>
      <w:rPr>
        <w:rStyle w:val="emphasiscolour"/>
        <w:noProof/>
        <w:color w:val="3C3C3B"/>
        <w:sz w:val="22"/>
        <w:szCs w:val="22"/>
      </w:rPr>
      <w:t>2</w:t>
    </w:r>
    <w:r w:rsidRPr="00F45D7F">
      <w:rPr>
        <w:rStyle w:val="emphasiscolour"/>
        <w:color w:val="3C3C3B"/>
        <w:sz w:val="22"/>
        <w:szCs w:val="22"/>
      </w:rPr>
      <w:fldChar w:fldCharType="end"/>
    </w:r>
    <w:r w:rsidRPr="00F45D7F">
      <w:rPr>
        <w:color w:val="3C3C3B"/>
        <w:sz w:val="22"/>
        <w:szCs w:val="22"/>
      </w:rPr>
      <w:tab/>
    </w:r>
    <w:r w:rsidRPr="00F45D7F">
      <w:rPr>
        <w:color w:val="3C3C3B"/>
        <w:sz w:val="22"/>
        <w:szCs w:val="22"/>
      </w:rPr>
      <w:tab/>
    </w:r>
    <w:r w:rsidRPr="00F45D7F">
      <w:rPr>
        <w:rFonts w:cstheme="minorHAnsi"/>
        <w:color w:val="3C3C3B"/>
        <w:sz w:val="22"/>
        <w:szCs w:val="22"/>
      </w:rPr>
      <w:t>© Brussels Airport Company</w:t>
    </w:r>
  </w:p>
  <w:p w14:paraId="38219EC5" w14:textId="5D840E42" w:rsidR="001B1AA4" w:rsidRPr="00F45D7F" w:rsidRDefault="001B1AA4">
    <w:pPr>
      <w:pStyle w:val="Footer1"/>
      <w:rPr>
        <w:color w:val="3C3C3B"/>
        <w:sz w:val="22"/>
        <w:szCs w:val="22"/>
      </w:rPr>
    </w:pPr>
    <w:r w:rsidRPr="00F45D7F">
      <w:rPr>
        <w:color w:val="3C3C3B"/>
        <w:sz w:val="22"/>
        <w:szCs w:val="22"/>
      </w:rPr>
      <w:fldChar w:fldCharType="begin"/>
    </w:r>
    <w:r w:rsidRPr="00F45D7F">
      <w:rPr>
        <w:color w:val="3C3C3B"/>
        <w:sz w:val="22"/>
        <w:szCs w:val="22"/>
      </w:rPr>
      <w:instrText xml:space="preserve"> SAVEDATE  \@ "d MMMM yyyy"  \* MERGEFORMAT </w:instrText>
    </w:r>
    <w:r w:rsidRPr="00F45D7F">
      <w:rPr>
        <w:color w:val="3C3C3B"/>
        <w:sz w:val="22"/>
        <w:szCs w:val="22"/>
      </w:rPr>
      <w:fldChar w:fldCharType="separate"/>
    </w:r>
    <w:r w:rsidR="00AC5833">
      <w:rPr>
        <w:noProof/>
        <w:color w:val="3C3C3B"/>
        <w:sz w:val="22"/>
        <w:szCs w:val="22"/>
      </w:rPr>
      <w:t>16 January 2024</w:t>
    </w:r>
    <w:r w:rsidRPr="00F45D7F">
      <w:rPr>
        <w:color w:val="3C3C3B"/>
        <w:sz w:val="22"/>
        <w:szCs w:val="22"/>
      </w:rPr>
      <w:fldChar w:fldCharType="end"/>
    </w:r>
    <w:r w:rsidRPr="00F45D7F">
      <w:rPr>
        <w:color w:val="3C3C3B"/>
        <w:sz w:val="22"/>
        <w:szCs w:val="22"/>
      </w:rPr>
      <w:tab/>
    </w:r>
    <w:r w:rsidRPr="00F45D7F">
      <w:rPr>
        <w:color w:val="3C3C3B"/>
        <w:sz w:val="22"/>
        <w:szCs w:val="22"/>
      </w:rPr>
      <w:tab/>
    </w:r>
    <w:fldSimple w:instr=" FILENAME  \* Lower  \* MERGEFORMAT ">
      <w:r w:rsidR="00184916">
        <w:rPr>
          <w:noProof/>
        </w:rPr>
        <w:t>whistleblowers policy - final 08012024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3002" w14:textId="77777777" w:rsidR="00510C72" w:rsidRDefault="00510C72">
    <w:pPr>
      <w:pStyle w:val="Voettekst"/>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C4C3AB6" w14:textId="77777777" w:rsidR="00572A4A" w:rsidRPr="00572A4A" w:rsidRDefault="00572A4A" w:rsidP="007123C5">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89CD" w14:textId="77777777" w:rsidR="002426CC" w:rsidRDefault="002426CC">
      <w:pPr>
        <w:spacing w:after="0"/>
      </w:pPr>
      <w:r>
        <w:separator/>
      </w:r>
    </w:p>
  </w:footnote>
  <w:footnote w:type="continuationSeparator" w:id="0">
    <w:p w14:paraId="6E838BE0" w14:textId="77777777" w:rsidR="002426CC" w:rsidRDefault="002426CC">
      <w:pPr>
        <w:spacing w:after="0"/>
      </w:pPr>
      <w:r>
        <w:continuationSeparator/>
      </w:r>
    </w:p>
  </w:footnote>
  <w:footnote w:type="continuationNotice" w:id="1">
    <w:p w14:paraId="78BABAB4" w14:textId="77777777" w:rsidR="002426CC" w:rsidRDefault="002426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9" w:type="dxa"/>
      <w:tblCellMar>
        <w:left w:w="0" w:type="dxa"/>
        <w:right w:w="0" w:type="dxa"/>
      </w:tblCellMar>
      <w:tblLook w:val="04A0" w:firstRow="1" w:lastRow="0" w:firstColumn="1" w:lastColumn="0" w:noHBand="0" w:noVBand="1"/>
    </w:tblPr>
    <w:tblGrid>
      <w:gridCol w:w="5155"/>
      <w:gridCol w:w="4234"/>
    </w:tblGrid>
    <w:tr w:rsidR="001B1AA4" w:rsidRPr="00993DC1" w14:paraId="7778E636" w14:textId="77777777">
      <w:trPr>
        <w:trHeight w:hRule="exact" w:val="547"/>
      </w:trPr>
      <w:tc>
        <w:tcPr>
          <w:tcW w:w="5155" w:type="dxa"/>
        </w:tcPr>
        <w:p w14:paraId="23C3B04F" w14:textId="77777777" w:rsidR="001B1AA4" w:rsidRPr="005557B3" w:rsidRDefault="001B1AA4">
          <w:pPr>
            <w:pStyle w:val="manual"/>
            <w:rPr>
              <w:color w:val="3C3C3B"/>
              <w:sz w:val="22"/>
              <w:szCs w:val="22"/>
            </w:rPr>
          </w:pPr>
        </w:p>
      </w:tc>
      <w:tc>
        <w:tcPr>
          <w:tcW w:w="4234" w:type="dxa"/>
        </w:tcPr>
        <w:p w14:paraId="254F8A49" w14:textId="77777777" w:rsidR="001B1AA4" w:rsidRPr="005557B3" w:rsidRDefault="001B1AA4">
          <w:pPr>
            <w:pStyle w:val="code"/>
            <w:rPr>
              <w:color w:val="3C3C3B"/>
              <w:sz w:val="22"/>
              <w:szCs w:val="22"/>
              <w:lang w:val="fr-BE"/>
            </w:rPr>
          </w:pPr>
        </w:p>
      </w:tc>
    </w:tr>
  </w:tbl>
  <w:p w14:paraId="7424A1B2" w14:textId="77777777" w:rsidR="001B1AA4" w:rsidRPr="003F47B7" w:rsidRDefault="001B1AA4">
    <w:pPr>
      <w:pStyle w:val="Koptekst"/>
      <w:tabs>
        <w:tab w:val="left" w:pos="8400"/>
        <w:tab w:val="right" w:pos="9638"/>
      </w:tabs>
      <w:ind w:left="0"/>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2B2A" w14:textId="6B1C7E55" w:rsidR="00627CFF" w:rsidRDefault="00627CFF">
    <w:pPr>
      <w:pStyle w:val="Koptekst"/>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3F2764D0" wp14:editId="6553429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369019290" name="Group 56"/>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84212938" name="Group 884212938"/>
                      <wpg:cNvGrpSpPr/>
                      <wpg:grpSpPr>
                        <a:xfrm>
                          <a:off x="0" y="0"/>
                          <a:ext cx="1700784" cy="1024128"/>
                          <a:chOff x="0" y="0"/>
                          <a:chExt cx="1700784" cy="1024128"/>
                        </a:xfrm>
                      </wpg:grpSpPr>
                      <wps:wsp>
                        <wps:cNvPr id="447312369" name="Rectangle 4473123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777102"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319686" name="Rectangle 71731968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855575" name="Text Box 17885557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150C4" w14:textId="77777777" w:rsidR="00627CFF" w:rsidRDefault="00627CFF">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2764D0" id="Group 56" o:spid="_x0000_s1026" style="position:absolute;left:0;text-align:left;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">
              <v:group id="Group 88421293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">
                <v:rect id="Rectangle 4473123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" path="m,l1462822,,910372,376306,,1014481,,xe" fillcolor="#4472c4 [3204]" stroked="f" strokeweight="1pt">
                  <v:stroke joinstyle="miter"/>
                  <v:path arrowok="t" o:connecttype="custom" o:connectlocs="0,0;1463040,0;910508,376493;0,1014984;0,0" o:connectangles="0,0,0,0,0"/>
                </v:shape>
                <v:rect id="Rectangle 717319686"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" stroked="f" strokeweight="1pt">
                  <v:fill r:id="rId2" o:title="" recolor="t" rotate="t" type="frame"/>
                </v:rect>
              </v:group>
              <v:shapetype id="_x0000_t202" coordsize="21600,21600" o:spt="202" path="m,l,21600r21600,l21600,xe">
                <v:stroke joinstyle="miter"/>
                <v:path gradientshapeok="t" o:connecttype="rect"/>
              </v:shapetype>
              <v:shape id="Text Box 178855575"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" filled="f" stroked="f" strokeweight=".5pt">
                <v:textbox inset=",7.2pt,,7.2pt">
                  <w:txbxContent>
                    <w:p w14:paraId="68C150C4" w14:textId="77777777" w:rsidR="00627CFF" w:rsidRDefault="00627CF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27E" w14:textId="671A41C2" w:rsidR="001B1AA4" w:rsidRPr="00E3526C" w:rsidRDefault="007123C5">
    <w:pPr>
      <w:pStyle w:val="Koptekst"/>
      <w:ind w:right="33"/>
      <w:jc w:val="right"/>
      <w:rPr>
        <w:rFonts w:ascii="Calibri" w:hAnsi="Calibri" w:cs="Calibri"/>
        <w:color w:val="3C3C3B"/>
        <w:lang w:val="fr-BE"/>
      </w:rPr>
    </w:pPr>
    <w:r w:rsidRPr="007123C5">
      <w:rPr>
        <w:rFonts w:ascii="Calibri" w:hAnsi="Calibri" w:cs="Calibri"/>
        <w:caps/>
        <w:noProof/>
        <w:color w:val="808080" w:themeColor="background1" w:themeShade="80"/>
        <w:sz w:val="20"/>
        <w:szCs w:val="20"/>
        <w:lang w:val="fr-BE"/>
      </w:rPr>
      <mc:AlternateContent>
        <mc:Choice Requires="wpg">
          <w:drawing>
            <wp:anchor distT="0" distB="0" distL="114300" distR="114300" simplePos="0" relativeHeight="251659264" behindDoc="0" locked="0" layoutInCell="1" allowOverlap="1" wp14:anchorId="7559AA82" wp14:editId="0BEF20C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56"/>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34902" w14:textId="77777777" w:rsidR="007123C5" w:rsidRDefault="007123C5">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59AA82" id="_x0000_s1032"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aEv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q58HI76hxe1fIVrR1HLz/xfilr28uP/DJt7+/9ezB8m/b49sdt/iE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h&#10;oS+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2334902" w14:textId="77777777" w:rsidR="007123C5" w:rsidRDefault="007123C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E14"/>
    <w:multiLevelType w:val="hybridMultilevel"/>
    <w:tmpl w:val="3306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8608B"/>
    <w:multiLevelType w:val="multilevel"/>
    <w:tmpl w:val="5E789FB8"/>
    <w:lvl w:ilvl="0">
      <w:start w:val="1"/>
      <w:numFmt w:val="bullet"/>
      <w:pStyle w:val="listitem"/>
      <w:lvlText w:val=""/>
      <w:lvlJc w:val="left"/>
      <w:pPr>
        <w:ind w:left="1267" w:hanging="360"/>
      </w:pPr>
      <w:rPr>
        <w:rFonts w:ascii="Symbol" w:hAnsi="Symbol" w:hint="default"/>
        <w:color w:val="3C3C3B"/>
        <w:u w:color="FFFFFF" w:themeColor="background1"/>
      </w:rPr>
    </w:lvl>
    <w:lvl w:ilvl="1">
      <w:start w:val="1"/>
      <w:numFmt w:val="bullet"/>
      <w:lvlText w:val=""/>
      <w:lvlJc w:val="left"/>
      <w:pPr>
        <w:ind w:left="1627" w:hanging="360"/>
      </w:pPr>
      <w:rPr>
        <w:rFonts w:ascii="Symbol" w:hAnsi="Symbol" w:hint="default"/>
        <w:color w:val="000000" w:themeColor="text1"/>
      </w:rPr>
    </w:lvl>
    <w:lvl w:ilvl="2">
      <w:start w:val="1"/>
      <w:numFmt w:val="bullet"/>
      <w:lvlText w:val=""/>
      <w:lvlJc w:val="left"/>
      <w:pPr>
        <w:ind w:left="2866" w:hanging="360"/>
      </w:pPr>
      <w:rPr>
        <w:rFonts w:ascii="Wingdings" w:hAnsi="Wingdings" w:hint="default"/>
      </w:rPr>
    </w:lvl>
    <w:lvl w:ilvl="3">
      <w:start w:val="1"/>
      <w:numFmt w:val="bullet"/>
      <w:lvlText w:val=""/>
      <w:lvlJc w:val="left"/>
      <w:pPr>
        <w:ind w:left="3586" w:hanging="360"/>
      </w:pPr>
      <w:rPr>
        <w:rFonts w:ascii="Symbol" w:hAnsi="Symbol" w:hint="default"/>
      </w:rPr>
    </w:lvl>
    <w:lvl w:ilvl="4">
      <w:start w:val="1"/>
      <w:numFmt w:val="bullet"/>
      <w:lvlText w:val="o"/>
      <w:lvlJc w:val="left"/>
      <w:pPr>
        <w:ind w:left="4306" w:hanging="360"/>
      </w:pPr>
      <w:rPr>
        <w:rFonts w:ascii="Courier New" w:hAnsi="Courier New" w:cs="Courier New" w:hint="default"/>
      </w:rPr>
    </w:lvl>
    <w:lvl w:ilvl="5">
      <w:start w:val="1"/>
      <w:numFmt w:val="bullet"/>
      <w:lvlText w:val=""/>
      <w:lvlJc w:val="left"/>
      <w:pPr>
        <w:ind w:left="5026" w:hanging="360"/>
      </w:pPr>
      <w:rPr>
        <w:rFonts w:ascii="Wingdings" w:hAnsi="Wingdings" w:hint="default"/>
      </w:rPr>
    </w:lvl>
    <w:lvl w:ilvl="6">
      <w:start w:val="1"/>
      <w:numFmt w:val="bullet"/>
      <w:lvlText w:val=""/>
      <w:lvlJc w:val="left"/>
      <w:pPr>
        <w:ind w:left="5746" w:hanging="360"/>
      </w:pPr>
      <w:rPr>
        <w:rFonts w:ascii="Symbol" w:hAnsi="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hint="default"/>
      </w:rPr>
    </w:lvl>
  </w:abstractNum>
  <w:abstractNum w:abstractNumId="2" w15:restartNumberingAfterBreak="0">
    <w:nsid w:val="3CFC57CB"/>
    <w:multiLevelType w:val="hybridMultilevel"/>
    <w:tmpl w:val="81505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C61718"/>
    <w:multiLevelType w:val="hybridMultilevel"/>
    <w:tmpl w:val="52C4AFB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A56F75"/>
    <w:multiLevelType w:val="hybridMultilevel"/>
    <w:tmpl w:val="76CA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45AD"/>
    <w:multiLevelType w:val="hybridMultilevel"/>
    <w:tmpl w:val="8BB8A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6C072C"/>
    <w:multiLevelType w:val="hybridMultilevel"/>
    <w:tmpl w:val="0D8856DC"/>
    <w:lvl w:ilvl="0" w:tplc="978A07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1A0D73"/>
    <w:multiLevelType w:val="hybridMultilevel"/>
    <w:tmpl w:val="309E68B6"/>
    <w:lvl w:ilvl="0" w:tplc="64A21868">
      <w:start w:val="1"/>
      <w:numFmt w:val="decimal"/>
      <w:lvlText w:val="%1."/>
      <w:lvlJc w:val="left"/>
      <w:pPr>
        <w:ind w:left="720" w:hanging="360"/>
      </w:pPr>
      <w:rPr>
        <w:rFonts w:hint="default"/>
        <w:b/>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95157384">
    <w:abstractNumId w:val="1"/>
  </w:num>
  <w:num w:numId="2" w16cid:durableId="792138478">
    <w:abstractNumId w:val="4"/>
  </w:num>
  <w:num w:numId="3" w16cid:durableId="664820526">
    <w:abstractNumId w:val="6"/>
  </w:num>
  <w:num w:numId="4" w16cid:durableId="1080492555">
    <w:abstractNumId w:val="5"/>
  </w:num>
  <w:num w:numId="5" w16cid:durableId="1583291264">
    <w:abstractNumId w:val="7"/>
  </w:num>
  <w:num w:numId="6" w16cid:durableId="1132400617">
    <w:abstractNumId w:val="0"/>
  </w:num>
  <w:num w:numId="7" w16cid:durableId="28337103">
    <w:abstractNumId w:val="2"/>
  </w:num>
  <w:num w:numId="8" w16cid:durableId="555628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06"/>
    <w:rsid w:val="00005F66"/>
    <w:rsid w:val="00011163"/>
    <w:rsid w:val="0001134F"/>
    <w:rsid w:val="0002268A"/>
    <w:rsid w:val="0003100B"/>
    <w:rsid w:val="00033D8A"/>
    <w:rsid w:val="00037B32"/>
    <w:rsid w:val="00046006"/>
    <w:rsid w:val="0004710D"/>
    <w:rsid w:val="00056E74"/>
    <w:rsid w:val="00064BE4"/>
    <w:rsid w:val="0006555F"/>
    <w:rsid w:val="00072A2B"/>
    <w:rsid w:val="0008022C"/>
    <w:rsid w:val="0008086E"/>
    <w:rsid w:val="000817D9"/>
    <w:rsid w:val="000871F2"/>
    <w:rsid w:val="000A27EA"/>
    <w:rsid w:val="000A3E29"/>
    <w:rsid w:val="000A421E"/>
    <w:rsid w:val="000F68F0"/>
    <w:rsid w:val="0010086D"/>
    <w:rsid w:val="00101945"/>
    <w:rsid w:val="0010439C"/>
    <w:rsid w:val="00105D15"/>
    <w:rsid w:val="00161269"/>
    <w:rsid w:val="00177CB2"/>
    <w:rsid w:val="00182922"/>
    <w:rsid w:val="00184916"/>
    <w:rsid w:val="00191996"/>
    <w:rsid w:val="001A4E72"/>
    <w:rsid w:val="001B1AA4"/>
    <w:rsid w:val="001C08C5"/>
    <w:rsid w:val="002044E7"/>
    <w:rsid w:val="002257B5"/>
    <w:rsid w:val="00241609"/>
    <w:rsid w:val="002426CC"/>
    <w:rsid w:val="00243CEC"/>
    <w:rsid w:val="002627CC"/>
    <w:rsid w:val="00264531"/>
    <w:rsid w:val="00266046"/>
    <w:rsid w:val="00276DB3"/>
    <w:rsid w:val="002937A2"/>
    <w:rsid w:val="002B0A21"/>
    <w:rsid w:val="002B4CBD"/>
    <w:rsid w:val="002B667A"/>
    <w:rsid w:val="002B6717"/>
    <w:rsid w:val="002D19D7"/>
    <w:rsid w:val="002D606C"/>
    <w:rsid w:val="002E29ED"/>
    <w:rsid w:val="002F5A3A"/>
    <w:rsid w:val="00306E86"/>
    <w:rsid w:val="003140C1"/>
    <w:rsid w:val="00317B11"/>
    <w:rsid w:val="00322D1A"/>
    <w:rsid w:val="00325FEA"/>
    <w:rsid w:val="00335F96"/>
    <w:rsid w:val="003365F1"/>
    <w:rsid w:val="003453EA"/>
    <w:rsid w:val="00386349"/>
    <w:rsid w:val="003906BC"/>
    <w:rsid w:val="003A1DBD"/>
    <w:rsid w:val="003C3E10"/>
    <w:rsid w:val="003D5B88"/>
    <w:rsid w:val="003E3A81"/>
    <w:rsid w:val="003E3F99"/>
    <w:rsid w:val="00402152"/>
    <w:rsid w:val="004261D2"/>
    <w:rsid w:val="00437E1F"/>
    <w:rsid w:val="004415B6"/>
    <w:rsid w:val="00444156"/>
    <w:rsid w:val="004516B8"/>
    <w:rsid w:val="00452C49"/>
    <w:rsid w:val="00471305"/>
    <w:rsid w:val="00481F40"/>
    <w:rsid w:val="004922E5"/>
    <w:rsid w:val="004C4D5F"/>
    <w:rsid w:val="004D3616"/>
    <w:rsid w:val="004D5282"/>
    <w:rsid w:val="004D6C9A"/>
    <w:rsid w:val="004E1419"/>
    <w:rsid w:val="004E3704"/>
    <w:rsid w:val="00500F51"/>
    <w:rsid w:val="00504286"/>
    <w:rsid w:val="00510C72"/>
    <w:rsid w:val="005160FD"/>
    <w:rsid w:val="00543973"/>
    <w:rsid w:val="00547A7D"/>
    <w:rsid w:val="00555302"/>
    <w:rsid w:val="00560988"/>
    <w:rsid w:val="0056558B"/>
    <w:rsid w:val="0057067F"/>
    <w:rsid w:val="00572A4A"/>
    <w:rsid w:val="00591EF9"/>
    <w:rsid w:val="005A46C2"/>
    <w:rsid w:val="005B1915"/>
    <w:rsid w:val="005C4C69"/>
    <w:rsid w:val="005C6365"/>
    <w:rsid w:val="005F2CE4"/>
    <w:rsid w:val="005F698A"/>
    <w:rsid w:val="00604EE5"/>
    <w:rsid w:val="00611E75"/>
    <w:rsid w:val="00627CFF"/>
    <w:rsid w:val="006614A3"/>
    <w:rsid w:val="00671079"/>
    <w:rsid w:val="0068570A"/>
    <w:rsid w:val="006859C3"/>
    <w:rsid w:val="00687C25"/>
    <w:rsid w:val="006A6261"/>
    <w:rsid w:val="006B79AA"/>
    <w:rsid w:val="006C3927"/>
    <w:rsid w:val="006C51D2"/>
    <w:rsid w:val="006C5C13"/>
    <w:rsid w:val="006C7724"/>
    <w:rsid w:val="006D1CA9"/>
    <w:rsid w:val="006D2798"/>
    <w:rsid w:val="006D6D7D"/>
    <w:rsid w:val="006E297E"/>
    <w:rsid w:val="006E6BD4"/>
    <w:rsid w:val="006F2F4A"/>
    <w:rsid w:val="006F485E"/>
    <w:rsid w:val="007123C5"/>
    <w:rsid w:val="00726E3F"/>
    <w:rsid w:val="00731F3E"/>
    <w:rsid w:val="007448D6"/>
    <w:rsid w:val="00752A18"/>
    <w:rsid w:val="00753CCB"/>
    <w:rsid w:val="00763581"/>
    <w:rsid w:val="00765BC8"/>
    <w:rsid w:val="007660FD"/>
    <w:rsid w:val="00771D48"/>
    <w:rsid w:val="007D4B3A"/>
    <w:rsid w:val="007E2F4C"/>
    <w:rsid w:val="007E4B9C"/>
    <w:rsid w:val="007F415C"/>
    <w:rsid w:val="007F5F32"/>
    <w:rsid w:val="007F6F4C"/>
    <w:rsid w:val="007F7964"/>
    <w:rsid w:val="00813508"/>
    <w:rsid w:val="00816BE4"/>
    <w:rsid w:val="00816FB6"/>
    <w:rsid w:val="00824C8E"/>
    <w:rsid w:val="008256D5"/>
    <w:rsid w:val="00845F0C"/>
    <w:rsid w:val="008513F8"/>
    <w:rsid w:val="00857666"/>
    <w:rsid w:val="00867932"/>
    <w:rsid w:val="008747F8"/>
    <w:rsid w:val="00876522"/>
    <w:rsid w:val="00877686"/>
    <w:rsid w:val="0088085E"/>
    <w:rsid w:val="008A4A19"/>
    <w:rsid w:val="00904086"/>
    <w:rsid w:val="00907010"/>
    <w:rsid w:val="00912BAF"/>
    <w:rsid w:val="00916EFB"/>
    <w:rsid w:val="009462FA"/>
    <w:rsid w:val="0096101A"/>
    <w:rsid w:val="00992B34"/>
    <w:rsid w:val="00995E75"/>
    <w:rsid w:val="009A6A5D"/>
    <w:rsid w:val="009C0B71"/>
    <w:rsid w:val="009D6597"/>
    <w:rsid w:val="009F1F9C"/>
    <w:rsid w:val="00A03A0F"/>
    <w:rsid w:val="00A0531A"/>
    <w:rsid w:val="00A333AA"/>
    <w:rsid w:val="00A6156B"/>
    <w:rsid w:val="00A66247"/>
    <w:rsid w:val="00A71E51"/>
    <w:rsid w:val="00AB1F04"/>
    <w:rsid w:val="00AB7638"/>
    <w:rsid w:val="00AC1745"/>
    <w:rsid w:val="00AC2BD1"/>
    <w:rsid w:val="00AC5833"/>
    <w:rsid w:val="00AE2379"/>
    <w:rsid w:val="00AE75D0"/>
    <w:rsid w:val="00AF736B"/>
    <w:rsid w:val="00B22BF3"/>
    <w:rsid w:val="00B65276"/>
    <w:rsid w:val="00B72C0F"/>
    <w:rsid w:val="00BB31C8"/>
    <w:rsid w:val="00BE48FE"/>
    <w:rsid w:val="00BE56CD"/>
    <w:rsid w:val="00BF1F30"/>
    <w:rsid w:val="00BF39E4"/>
    <w:rsid w:val="00C040DC"/>
    <w:rsid w:val="00C14BD7"/>
    <w:rsid w:val="00C23FDF"/>
    <w:rsid w:val="00C36A9C"/>
    <w:rsid w:val="00C53B3F"/>
    <w:rsid w:val="00C571AC"/>
    <w:rsid w:val="00C654EA"/>
    <w:rsid w:val="00C719B3"/>
    <w:rsid w:val="00C73CBD"/>
    <w:rsid w:val="00C76557"/>
    <w:rsid w:val="00C95536"/>
    <w:rsid w:val="00CB578B"/>
    <w:rsid w:val="00CC493F"/>
    <w:rsid w:val="00CE0D95"/>
    <w:rsid w:val="00CE5A39"/>
    <w:rsid w:val="00D05C5C"/>
    <w:rsid w:val="00D117D3"/>
    <w:rsid w:val="00D12657"/>
    <w:rsid w:val="00D66CFE"/>
    <w:rsid w:val="00D73777"/>
    <w:rsid w:val="00D84441"/>
    <w:rsid w:val="00D87AA5"/>
    <w:rsid w:val="00DB54BF"/>
    <w:rsid w:val="00DC54F5"/>
    <w:rsid w:val="00DC5BC3"/>
    <w:rsid w:val="00DD442A"/>
    <w:rsid w:val="00DF2379"/>
    <w:rsid w:val="00E068C1"/>
    <w:rsid w:val="00E12DD7"/>
    <w:rsid w:val="00E27276"/>
    <w:rsid w:val="00E37432"/>
    <w:rsid w:val="00E56EB6"/>
    <w:rsid w:val="00E6151F"/>
    <w:rsid w:val="00E7164A"/>
    <w:rsid w:val="00EB0C69"/>
    <w:rsid w:val="00EC7A6D"/>
    <w:rsid w:val="00ED2298"/>
    <w:rsid w:val="00EE5324"/>
    <w:rsid w:val="00EF5FC1"/>
    <w:rsid w:val="00EF668E"/>
    <w:rsid w:val="00EF71EC"/>
    <w:rsid w:val="00F22A28"/>
    <w:rsid w:val="00F24207"/>
    <w:rsid w:val="00F265E1"/>
    <w:rsid w:val="00F62F04"/>
    <w:rsid w:val="00F633BB"/>
    <w:rsid w:val="00F80D6A"/>
    <w:rsid w:val="00F92EFC"/>
    <w:rsid w:val="00FE70FE"/>
    <w:rsid w:val="00FE7127"/>
    <w:rsid w:val="00FE7A88"/>
    <w:rsid w:val="00FF6FD0"/>
    <w:rsid w:val="0B2EAE89"/>
    <w:rsid w:val="22C55D3E"/>
    <w:rsid w:val="2ADF4EB9"/>
    <w:rsid w:val="30EFD979"/>
    <w:rsid w:val="4072F3EA"/>
    <w:rsid w:val="5E9EFF95"/>
    <w:rsid w:val="68DCDA8B"/>
    <w:rsid w:val="6F10451E"/>
    <w:rsid w:val="754AA30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A7636"/>
  <w15:chartTrackingRefBased/>
  <w15:docId w15:val="{3547B437-7FB4-4A93-81B4-B6AE297A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
    <w:rsid w:val="00046006"/>
    <w:pPr>
      <w:spacing w:after="120" w:line="240" w:lineRule="auto"/>
      <w:ind w:left="403"/>
    </w:pPr>
    <w:rPr>
      <w:kern w:val="0"/>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item">
    <w:name w:val="listitem"/>
    <w:basedOn w:val="paragraph"/>
    <w:rsid w:val="00046006"/>
    <w:pPr>
      <w:numPr>
        <w:numId w:val="1"/>
      </w:numPr>
      <w:spacing w:before="60" w:after="60"/>
    </w:pPr>
  </w:style>
  <w:style w:type="paragraph" w:styleId="Koptekst">
    <w:name w:val="header"/>
    <w:basedOn w:val="Standaard"/>
    <w:link w:val="KoptekstChar"/>
    <w:uiPriority w:val="99"/>
    <w:rsid w:val="00046006"/>
    <w:pPr>
      <w:tabs>
        <w:tab w:val="center" w:pos="4536"/>
        <w:tab w:val="right" w:pos="9072"/>
      </w:tabs>
      <w:spacing w:after="0"/>
    </w:pPr>
  </w:style>
  <w:style w:type="character" w:customStyle="1" w:styleId="KoptekstChar">
    <w:name w:val="Koptekst Char"/>
    <w:basedOn w:val="Standaardalinea-lettertype"/>
    <w:link w:val="Koptekst"/>
    <w:uiPriority w:val="99"/>
    <w:rsid w:val="00046006"/>
    <w:rPr>
      <w:kern w:val="0"/>
      <w:lang w:val="en-US"/>
      <w14:ligatures w14:val="none"/>
    </w:rPr>
  </w:style>
  <w:style w:type="paragraph" w:styleId="Inhopg3">
    <w:name w:val="toc 3"/>
    <w:basedOn w:val="paragraph"/>
    <w:next w:val="paragraph"/>
    <w:autoRedefine/>
    <w:uiPriority w:val="39"/>
    <w:rsid w:val="00046006"/>
    <w:pPr>
      <w:tabs>
        <w:tab w:val="right" w:leader="dot" w:pos="9634"/>
      </w:tabs>
      <w:ind w:left="965"/>
    </w:pPr>
    <w:rPr>
      <w:noProof/>
    </w:rPr>
  </w:style>
  <w:style w:type="paragraph" w:customStyle="1" w:styleId="paragraph">
    <w:name w:val="paragraph"/>
    <w:rsid w:val="00046006"/>
    <w:pPr>
      <w:spacing w:before="180" w:after="180" w:line="240" w:lineRule="auto"/>
      <w:ind w:left="720"/>
    </w:pPr>
    <w:rPr>
      <w:rFonts w:ascii="Calibri" w:hAnsi="Calibri"/>
      <w:kern w:val="0"/>
      <w:sz w:val="24"/>
      <w:szCs w:val="24"/>
      <w:lang w:val="en-US"/>
      <w14:ligatures w14:val="none"/>
    </w:rPr>
  </w:style>
  <w:style w:type="paragraph" w:customStyle="1" w:styleId="Footer1">
    <w:name w:val="Footer1"/>
    <w:basedOn w:val="paragraph"/>
    <w:semiHidden/>
    <w:rsid w:val="00046006"/>
    <w:pPr>
      <w:tabs>
        <w:tab w:val="center" w:pos="4694"/>
        <w:tab w:val="right" w:pos="9389"/>
      </w:tabs>
      <w:spacing w:before="0" w:after="0"/>
      <w:ind w:left="0"/>
    </w:pPr>
    <w:rPr>
      <w:sz w:val="20"/>
    </w:rPr>
  </w:style>
  <w:style w:type="character" w:customStyle="1" w:styleId="emphasiscolour">
    <w:name w:val="emphasiscolour"/>
    <w:basedOn w:val="Standaardalinea-lettertype"/>
    <w:rsid w:val="00046006"/>
    <w:rPr>
      <w:rFonts w:ascii="Calibri" w:hAnsi="Calibri"/>
      <w:b w:val="0"/>
      <w:color w:val="1F66AD"/>
    </w:rPr>
  </w:style>
  <w:style w:type="paragraph" w:customStyle="1" w:styleId="chaptertitlenonumbering">
    <w:name w:val="chaptertitlenonumbering"/>
    <w:basedOn w:val="Standaard"/>
    <w:next w:val="paragraph"/>
    <w:rsid w:val="00046006"/>
    <w:pPr>
      <w:pageBreakBefore/>
      <w:spacing w:after="720" w:line="340" w:lineRule="exact"/>
      <w:ind w:left="0"/>
      <w:outlineLvl w:val="0"/>
    </w:pPr>
    <w:rPr>
      <w:rFonts w:ascii="Calibri" w:hAnsi="Calibri"/>
      <w:b/>
      <w:sz w:val="32"/>
    </w:rPr>
  </w:style>
  <w:style w:type="paragraph" w:customStyle="1" w:styleId="manual">
    <w:name w:val="manual"/>
    <w:basedOn w:val="paragraph"/>
    <w:semiHidden/>
    <w:rsid w:val="00046006"/>
    <w:pPr>
      <w:spacing w:before="0" w:after="0"/>
      <w:ind w:left="0"/>
    </w:pPr>
    <w:rPr>
      <w:color w:val="000000" w:themeColor="text1"/>
      <w:sz w:val="20"/>
    </w:rPr>
  </w:style>
  <w:style w:type="paragraph" w:customStyle="1" w:styleId="code">
    <w:name w:val="code"/>
    <w:basedOn w:val="manual"/>
    <w:semiHidden/>
    <w:rsid w:val="00046006"/>
    <w:pPr>
      <w:ind w:right="360"/>
      <w:jc w:val="right"/>
    </w:pPr>
  </w:style>
  <w:style w:type="paragraph" w:customStyle="1" w:styleId="TableText">
    <w:name w:val="Table Text"/>
    <w:basedOn w:val="Standaard"/>
    <w:rsid w:val="00046006"/>
    <w:pPr>
      <w:spacing w:before="40" w:after="40"/>
      <w:ind w:left="0"/>
    </w:pPr>
    <w:rPr>
      <w:rFonts w:ascii="Calibri" w:eastAsia="Times New Roman" w:hAnsi="Calibri" w:cs="Times New Roman"/>
      <w:snapToGrid w:val="0"/>
      <w:sz w:val="20"/>
      <w:szCs w:val="20"/>
      <w:lang w:val="en-GB"/>
    </w:rPr>
  </w:style>
  <w:style w:type="paragraph" w:customStyle="1" w:styleId="TableSpacing">
    <w:name w:val="Table Spacing"/>
    <w:basedOn w:val="Standaard"/>
    <w:next w:val="Plattetekst"/>
    <w:rsid w:val="00046006"/>
    <w:pPr>
      <w:spacing w:before="40" w:after="40"/>
      <w:ind w:left="0"/>
    </w:pPr>
    <w:rPr>
      <w:rFonts w:ascii="Verdana" w:eastAsia="Times New Roman" w:hAnsi="Verdana" w:cs="Times New Roman"/>
      <w:snapToGrid w:val="0"/>
      <w:color w:val="008000"/>
      <w:sz w:val="20"/>
      <w:szCs w:val="20"/>
      <w:lang w:val="en-GB"/>
    </w:rPr>
  </w:style>
  <w:style w:type="paragraph" w:customStyle="1" w:styleId="topicnonumbering">
    <w:name w:val="topicnonumbering"/>
    <w:next w:val="paragraph"/>
    <w:uiPriority w:val="9"/>
    <w:rsid w:val="00046006"/>
    <w:pPr>
      <w:keepNext/>
      <w:spacing w:after="240" w:line="240" w:lineRule="auto"/>
    </w:pPr>
    <w:rPr>
      <w:rFonts w:ascii="Calibri" w:hAnsi="Calibri"/>
      <w:b/>
      <w:kern w:val="0"/>
      <w:sz w:val="28"/>
      <w:lang w:val="en-US"/>
      <w14:ligatures w14:val="none"/>
    </w:rPr>
  </w:style>
  <w:style w:type="paragraph" w:styleId="Plattetekst">
    <w:name w:val="Body Text"/>
    <w:basedOn w:val="Standaard"/>
    <w:link w:val="PlattetekstChar"/>
    <w:uiPriority w:val="99"/>
    <w:semiHidden/>
    <w:unhideWhenUsed/>
    <w:rsid w:val="00046006"/>
  </w:style>
  <w:style w:type="character" w:customStyle="1" w:styleId="PlattetekstChar">
    <w:name w:val="Platte tekst Char"/>
    <w:basedOn w:val="Standaardalinea-lettertype"/>
    <w:link w:val="Plattetekst"/>
    <w:uiPriority w:val="99"/>
    <w:semiHidden/>
    <w:rsid w:val="00046006"/>
    <w:rPr>
      <w:kern w:val="0"/>
      <w:lang w:val="en-US"/>
      <w14:ligatures w14:val="none"/>
    </w:rPr>
  </w:style>
  <w:style w:type="character" w:styleId="Tekstvantijdelijkeaanduiding">
    <w:name w:val="Placeholder Text"/>
    <w:basedOn w:val="Standaardalinea-lettertype"/>
    <w:uiPriority w:val="99"/>
    <w:semiHidden/>
    <w:rsid w:val="00046006"/>
    <w:rPr>
      <w:color w:val="808080"/>
    </w:rPr>
  </w:style>
  <w:style w:type="paragraph" w:styleId="Revisie">
    <w:name w:val="Revision"/>
    <w:hidden/>
    <w:uiPriority w:val="99"/>
    <w:semiHidden/>
    <w:rsid w:val="007660FD"/>
    <w:pPr>
      <w:spacing w:after="0" w:line="240" w:lineRule="auto"/>
    </w:pPr>
    <w:rPr>
      <w:kern w:val="0"/>
      <w:lang w:val="en-US"/>
      <w14:ligatures w14:val="none"/>
    </w:rPr>
  </w:style>
  <w:style w:type="character" w:styleId="Verwijzingopmerking">
    <w:name w:val="annotation reference"/>
    <w:basedOn w:val="Standaardalinea-lettertype"/>
    <w:uiPriority w:val="99"/>
    <w:semiHidden/>
    <w:unhideWhenUsed/>
    <w:rsid w:val="00ED2298"/>
    <w:rPr>
      <w:sz w:val="16"/>
      <w:szCs w:val="16"/>
    </w:rPr>
  </w:style>
  <w:style w:type="paragraph" w:styleId="Tekstopmerking">
    <w:name w:val="annotation text"/>
    <w:basedOn w:val="Standaard"/>
    <w:link w:val="TekstopmerkingChar"/>
    <w:uiPriority w:val="99"/>
    <w:unhideWhenUsed/>
    <w:rsid w:val="00ED2298"/>
    <w:rPr>
      <w:sz w:val="20"/>
      <w:szCs w:val="20"/>
    </w:rPr>
  </w:style>
  <w:style w:type="character" w:customStyle="1" w:styleId="TekstopmerkingChar">
    <w:name w:val="Tekst opmerking Char"/>
    <w:basedOn w:val="Standaardalinea-lettertype"/>
    <w:link w:val="Tekstopmerking"/>
    <w:uiPriority w:val="99"/>
    <w:rsid w:val="00ED2298"/>
    <w:rPr>
      <w:kern w:val="0"/>
      <w:sz w:val="20"/>
      <w:szCs w:val="20"/>
      <w:lang w:val="en-US"/>
      <w14:ligatures w14:val="none"/>
    </w:rPr>
  </w:style>
  <w:style w:type="paragraph" w:styleId="Onderwerpvanopmerking">
    <w:name w:val="annotation subject"/>
    <w:basedOn w:val="Tekstopmerking"/>
    <w:next w:val="Tekstopmerking"/>
    <w:link w:val="OnderwerpvanopmerkingChar"/>
    <w:uiPriority w:val="99"/>
    <w:semiHidden/>
    <w:unhideWhenUsed/>
    <w:rsid w:val="00ED2298"/>
    <w:rPr>
      <w:b/>
      <w:bCs/>
    </w:rPr>
  </w:style>
  <w:style w:type="character" w:customStyle="1" w:styleId="OnderwerpvanopmerkingChar">
    <w:name w:val="Onderwerp van opmerking Char"/>
    <w:basedOn w:val="TekstopmerkingChar"/>
    <w:link w:val="Onderwerpvanopmerking"/>
    <w:uiPriority w:val="99"/>
    <w:semiHidden/>
    <w:rsid w:val="00ED2298"/>
    <w:rPr>
      <w:b/>
      <w:bCs/>
      <w:kern w:val="0"/>
      <w:sz w:val="20"/>
      <w:szCs w:val="20"/>
      <w:lang w:val="en-US"/>
      <w14:ligatures w14:val="none"/>
    </w:rPr>
  </w:style>
  <w:style w:type="paragraph" w:styleId="Voettekst">
    <w:name w:val="footer"/>
    <w:basedOn w:val="Standaard"/>
    <w:link w:val="VoettekstChar"/>
    <w:uiPriority w:val="99"/>
    <w:unhideWhenUsed/>
    <w:qFormat/>
    <w:rsid w:val="004516B8"/>
    <w:pPr>
      <w:tabs>
        <w:tab w:val="center" w:pos="4513"/>
        <w:tab w:val="right" w:pos="9026"/>
      </w:tabs>
      <w:spacing w:after="0"/>
    </w:pPr>
  </w:style>
  <w:style w:type="character" w:customStyle="1" w:styleId="VoettekstChar">
    <w:name w:val="Voettekst Char"/>
    <w:basedOn w:val="Standaardalinea-lettertype"/>
    <w:link w:val="Voettekst"/>
    <w:uiPriority w:val="99"/>
    <w:rsid w:val="004516B8"/>
    <w:rPr>
      <w:kern w:val="0"/>
      <w:lang w:val="en-US"/>
      <w14:ligatures w14:val="none"/>
    </w:rPr>
  </w:style>
  <w:style w:type="paragraph" w:styleId="Lijstalinea">
    <w:name w:val="List Paragraph"/>
    <w:basedOn w:val="Standaard"/>
    <w:uiPriority w:val="34"/>
    <w:qFormat/>
    <w:rsid w:val="0020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la@firm-ifdh.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ederaalinstituutmensenrechten.be/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griteit@federaalombudsma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8FB8F55F04FA086D68D2EBD831450"/>
        <w:category>
          <w:name w:val="General"/>
          <w:gallery w:val="placeholder"/>
        </w:category>
        <w:types>
          <w:type w:val="bbPlcHdr"/>
        </w:types>
        <w:behaviors>
          <w:behavior w:val="content"/>
        </w:behaviors>
        <w:guid w:val="{64A0557A-C002-4F11-8E62-B94F84B61F2B}"/>
      </w:docPartPr>
      <w:docPartBody>
        <w:p w:rsidR="009864E2" w:rsidRDefault="00B94552" w:rsidP="00B94552">
          <w:pPr>
            <w:pStyle w:val="A2A8FB8F55F04FA086D68D2EBD831450"/>
          </w:pPr>
          <w:r w:rsidRPr="00E22034">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52"/>
    <w:rsid w:val="00043445"/>
    <w:rsid w:val="001420B6"/>
    <w:rsid w:val="003E306D"/>
    <w:rsid w:val="004E23F8"/>
    <w:rsid w:val="005D7EF2"/>
    <w:rsid w:val="00725C4E"/>
    <w:rsid w:val="00872107"/>
    <w:rsid w:val="009864E2"/>
    <w:rsid w:val="00A40D0F"/>
    <w:rsid w:val="00B94552"/>
    <w:rsid w:val="00CD2BD0"/>
    <w:rsid w:val="00D62BDD"/>
    <w:rsid w:val="00DA0F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BD0"/>
    <w:rPr>
      <w:color w:val="808080"/>
    </w:rPr>
  </w:style>
  <w:style w:type="paragraph" w:customStyle="1" w:styleId="A2A8FB8F55F04FA086D68D2EBD831450">
    <w:name w:val="A2A8FB8F55F04FA086D68D2EBD831450"/>
    <w:rsid w:val="00B94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04C47E4266E44B60218BDBE711D01" ma:contentTypeVersion="11" ma:contentTypeDescription="Create a new document." ma:contentTypeScope="" ma:versionID="2df4b4df95ec031a55e8566db01ae0e4">
  <xsd:schema xmlns:xsd="http://www.w3.org/2001/XMLSchema" xmlns:xs="http://www.w3.org/2001/XMLSchema" xmlns:p="http://schemas.microsoft.com/office/2006/metadata/properties" xmlns:ns2="67dfa3d2-1120-4c8d-8d6e-06abd79fd8e5" xmlns:ns3="e92c6da1-efd0-47f0-a4cb-5281b7a85d7b" targetNamespace="http://schemas.microsoft.com/office/2006/metadata/properties" ma:root="true" ma:fieldsID="d9fa57077622fae8d56c16ab3574a65b" ns2:_="" ns3:_="">
    <xsd:import namespace="67dfa3d2-1120-4c8d-8d6e-06abd79fd8e5"/>
    <xsd:import namespace="e92c6da1-efd0-47f0-a4cb-5281b7a85d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fa3d2-1120-4c8d-8d6e-06abd79f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8a58eb6-7e4b-4be0-9fbf-711cce3f6a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2c6da1-efd0-47f0-a4cb-5281b7a85d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92c6da1-efd0-47f0-a4cb-5281b7a85d7b">
      <UserInfo>
        <DisplayName>Ilse Ortega Lopez</DisplayName>
        <AccountId>30</AccountId>
        <AccountType/>
      </UserInfo>
      <UserInfo>
        <DisplayName>Robine Moerman</DisplayName>
        <AccountId>19</AccountId>
        <AccountType/>
      </UserInfo>
      <UserInfo>
        <DisplayName>Febe Willems</DisplayName>
        <AccountId>23</AccountId>
        <AccountType/>
      </UserInfo>
      <UserInfo>
        <DisplayName>Stéphanie Liebaert</DisplayName>
        <AccountId>14</AccountId>
        <AccountType/>
      </UserInfo>
      <UserInfo>
        <DisplayName>Virginia Geeraerts</DisplayName>
        <AccountId>9</AccountId>
        <AccountType/>
      </UserInfo>
    </SharedWithUsers>
    <lcf76f155ced4ddcb4097134ff3c332f xmlns="67dfa3d2-1120-4c8d-8d6e-06abd79fd8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2CC49C-DAF2-4F07-8DDC-1C2F6CC4B27F}">
  <ds:schemaRefs>
    <ds:schemaRef ds:uri="http://schemas.openxmlformats.org/officeDocument/2006/bibliography"/>
  </ds:schemaRefs>
</ds:datastoreItem>
</file>

<file path=customXml/itemProps2.xml><?xml version="1.0" encoding="utf-8"?>
<ds:datastoreItem xmlns:ds="http://schemas.openxmlformats.org/officeDocument/2006/customXml" ds:itemID="{5E7D2F41-7A41-4200-A696-6F5DB3BE0C37}">
  <ds:schemaRefs>
    <ds:schemaRef ds:uri="http://schemas.microsoft.com/sharepoint/v3/contenttype/forms"/>
  </ds:schemaRefs>
</ds:datastoreItem>
</file>

<file path=customXml/itemProps3.xml><?xml version="1.0" encoding="utf-8"?>
<ds:datastoreItem xmlns:ds="http://schemas.openxmlformats.org/officeDocument/2006/customXml" ds:itemID="{0FD6FB6D-EBA5-4A44-8E74-88DF370C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fa3d2-1120-4c8d-8d6e-06abd79fd8e5"/>
    <ds:schemaRef ds:uri="e92c6da1-efd0-47f0-a4cb-5281b7a85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60CD3-F5AA-4767-AB6E-A58619DB2D42}">
  <ds:schemaRefs>
    <ds:schemaRef ds:uri="http://purl.org/dc/elements/1.1/"/>
    <ds:schemaRef ds:uri="http://schemas.microsoft.com/office/2006/documentManagement/types"/>
    <ds:schemaRef ds:uri="67dfa3d2-1120-4c8d-8d6e-06abd79fd8e5"/>
    <ds:schemaRef ds:uri="http://www.w3.org/XML/1998/namespace"/>
    <ds:schemaRef ds:uri="http://schemas.openxmlformats.org/package/2006/metadata/core-properties"/>
    <ds:schemaRef ds:uri="http://purl.org/dc/dcmitype/"/>
    <ds:schemaRef ds:uri="http://schemas.microsoft.com/office/2006/metadata/properties"/>
    <ds:schemaRef ds:uri="e92c6da1-efd0-47f0-a4cb-5281b7a85d7b"/>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2948</Words>
  <Characters>16220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Whistleblowers policy</vt:lpstr>
    </vt:vector>
  </TitlesOfParts>
  <Company>Brussels Airport</Company>
  <LinksUpToDate>false</LinksUpToDate>
  <CharactersWithSpaces>19130</CharactersWithSpaces>
  <SharedDoc>false</SharedDoc>
  <HLinks>
    <vt:vector size="24" baseType="variant">
      <vt:variant>
        <vt:i4>2228257</vt:i4>
      </vt:variant>
      <vt:variant>
        <vt:i4>9</vt:i4>
      </vt:variant>
      <vt:variant>
        <vt:i4>0</vt:i4>
      </vt:variant>
      <vt:variant>
        <vt:i4>5</vt:i4>
      </vt:variant>
      <vt:variant>
        <vt:lpwstr>http://en.wikipedia.org/wiki/RACI_matrix</vt:lpwstr>
      </vt:variant>
      <vt:variant>
        <vt:lpwstr>cite_note-pmiforum-7</vt:lpwstr>
      </vt:variant>
      <vt:variant>
        <vt:i4>1048621</vt:i4>
      </vt:variant>
      <vt:variant>
        <vt:i4>6</vt:i4>
      </vt:variant>
      <vt:variant>
        <vt:i4>0</vt:i4>
      </vt:variant>
      <vt:variant>
        <vt:i4>5</vt:i4>
      </vt:variant>
      <vt:variant>
        <vt:lpwstr>mailto:kl-la@firm-ifdh.be</vt:lpwstr>
      </vt:variant>
      <vt:variant>
        <vt:lpwstr/>
      </vt:variant>
      <vt:variant>
        <vt:i4>4915222</vt:i4>
      </vt:variant>
      <vt:variant>
        <vt:i4>3</vt:i4>
      </vt:variant>
      <vt:variant>
        <vt:i4>0</vt:i4>
      </vt:variant>
      <vt:variant>
        <vt:i4>5</vt:i4>
      </vt:variant>
      <vt:variant>
        <vt:lpwstr>https://federaalinstituutmensenrechten.be/nl</vt:lpwstr>
      </vt:variant>
      <vt:variant>
        <vt:lpwstr/>
      </vt:variant>
      <vt:variant>
        <vt:i4>7929927</vt:i4>
      </vt:variant>
      <vt:variant>
        <vt:i4>0</vt:i4>
      </vt:variant>
      <vt:variant>
        <vt:i4>0</vt:i4>
      </vt:variant>
      <vt:variant>
        <vt:i4>5</vt:i4>
      </vt:variant>
      <vt:variant>
        <vt:lpwstr>mailto:integriteit@federaalombudsman.be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Whistleblowers policy</dc:title>
  <dc:subject/>
  <dc:creator>maarten.vanknippenberg@be.gt.com</dc:creator>
  <cp:keywords/>
  <dc:description/>
  <cp:lastModifiedBy>Lina Dohnke</cp:lastModifiedBy>
  <cp:revision>2</cp:revision>
  <cp:lastPrinted>2024-01-08T16:12:00Z</cp:lastPrinted>
  <dcterms:created xsi:type="dcterms:W3CDTF">2024-01-17T07:47:00Z</dcterms:created>
  <dcterms:modified xsi:type="dcterms:W3CDTF">2024-01-17T07:47:00Z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0x010100EA204C47E4266E44B60218BDBE711D01</vt:lpwstr>
  </property>
  <property fmtid="{D5CDD505-2E9C-101B-9397-08002B2CF9AE}" pid="3" name="MediaServiceImageTags">
    <vt:lpwstr/>
  </property>
</Properties>
</file>